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c>
          <w:tcPr>
            <w:tcW w:type="dxa" w:w="6379"/>
            <w:tcBorders/>
            <w:shd w:fill="auto" w:color="auto" w:val="clear"/>
          </w:tcPr>
          <w:p>
            <w:pPr>
              <w:spacing/>
              <w:rPr>
                <w:rFonts w:eastAsia="Calibri"/>
              </w:rPr>
            </w:pPr>
            <w:bookmarkStart w:id="2" w:name="_Hlk128748807"/>
            <w:r>
              <w:rPr>
                <w:rFonts w:eastAsia="Calibri"/>
              </w:rPr>
              <w:t xml:space="preserve">OSNOVNA ŠKOLA „VALENTIN KLARIN“ PREKO                                                                                                      Cesta </w:t>
            </w:r>
            <w:r>
              <w:rPr>
                <w:rFonts w:eastAsia="Calibri"/>
              </w:rPr>
              <w:t xml:space="preserve">hrvatskih</w:t>
            </w:r>
            <w:r>
              <w:rPr>
                <w:rFonts w:eastAsia="Calibri"/>
              </w:rPr>
              <w:t xml:space="preserve"> </w:t>
            </w:r>
            <w:r>
              <w:rPr>
                <w:rFonts w:eastAsia="Calibri"/>
              </w:rPr>
              <w:t xml:space="preserve">branitelja</w:t>
            </w:r>
            <w:r>
              <w:rPr>
                <w:rFonts w:eastAsia="Calibri"/>
              </w:rPr>
              <w:t xml:space="preserve"> 39/H, 23273 </w:t>
            </w:r>
            <w:r>
              <w:rPr>
                <w:rFonts w:eastAsia="Calibri"/>
              </w:rPr>
              <w:t xml:space="preserve">Preko</w:t>
            </w:r>
            <w:r>
              <w:rPr>
                <w:rFonts w:eastAsia="Calibri"/>
              </w:rPr>
              <w:t xml:space="preserve">                                                                                                     KLASA:       </w:t>
            </w:r>
            <w:r>
              <w:rPr>
                <w:rFonts w:eastAsia="Calibri"/>
                <w:noProof/>
              </w:rPr>
              <w:t xml:space="preserve">007-01/26-02/3</w:t>
            </w:r>
            <w:r>
              <w:rPr>
                <w:rFonts w:eastAsia="Calibri"/>
              </w:rPr>
              <w:t xml:space="preserve">                                                                                                                                        URBROJ:     </w:t>
            </w:r>
            <w:r>
              <w:rPr>
                <w:rFonts w:eastAsia="Calibri"/>
                <w:noProof/>
              </w:rPr>
              <w:t xml:space="preserve">2198-1-43-26-1</w:t>
            </w:r>
            <w:r>
              <w:rPr>
                <w:rFonts w:eastAsia="Calibri"/>
              </w:rPr>
              <w:t xml:space="preserve">                                                                                                           </w:t>
            </w:r>
            <w:r>
              <w:rPr>
                <w:rFonts w:eastAsia="Calibri"/>
              </w:rPr>
              <w:t xml:space="preserve">Preko</w:t>
            </w:r>
            <w:r>
              <w:rPr>
                <w:rFonts w:eastAsia="Calibri"/>
              </w:rPr>
              <w:t xml:space="preserve">,    </w:t>
            </w:r>
            <w:r>
              <w:rPr>
                <w:rFonts w:eastAsia="Calibri"/>
              </w:rPr>
              <w:t xml:space="preserve">01.09.2026.</w:t>
            </w:r>
          </w:p>
        </w:tc>
        <w:tc>
          <w:tcPr>
            <w:tcW w:type="dxa" w:w="2693"/>
            <w:tcBorders/>
            <w:shd w:fill="auto" w:color="auto" w:val="clear"/>
          </w:tcPr>
          <w:p>
            <w:pPr>
              <w:spacing/>
              <w:jc w:val="right"/>
              <w:rPr>
                <w:rFonts w:eastAsia="Calibri"/>
              </w:rPr>
            </w:pPr>
            <w:r>
              <w:rPr/>
              <w:drawing>
                <wp:inline>
                  <wp:extent cx="933580" cy="933580"/>
                  <wp:docPr id="1" name="Picture 1"/>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a:srcRect/>
                          <a:stretch>
                            <a:fillRect/>
                          </a:stretch>
                        </pic:blipFill>
                        <pic:spPr bwMode="auto">
                          <a:xfrm>
                            <a:off x="0" y="0"/>
                            <a:ext cx="933580" cy="933580"/>
                          </a:xfrm>
                          <a:prstGeom prst="rect">
                            <a:avLst/>
                          </a:prstGeom>
                        </pic:spPr>
                      </pic:pic>
                    </a:graphicData>
                  </a:graphic>
                </wp:inline>
              </w:drawing>
            </w:r>
          </w:p>
        </w:tc>
      </w:tr>
      <w:bookmarkEnd w:id="2"/>
    </w:tbl>
    <w:p w14:paraId="28A26E17">
      <w:pPr>
        <w:spacing w:after="0" w:line="240" w:lineRule="auto"/>
        <w:ind w:right="57"/>
        <w:jc w:val="both"/>
        <w:rPr>
          <w:rFonts w:cs="Times New Roman"/>
          <w:sz w:val="24"/>
          <w:szCs w:val="24"/>
          <w:lang w:val="hr-HR"/>
        </w:rPr>
      </w:pPr>
    </w:p>
    <w:p w14:paraId="400380F8">
      <w:pPr>
        <w:spacing w:after="0" w:line="240" w:lineRule="auto"/>
        <w:ind w:right="57" w:firstLine="720"/>
        <w:jc w:val="both"/>
        <w:rPr>
          <w:rFonts w:cs="Times New Roman"/>
          <w:sz w:val="24"/>
          <w:szCs w:val="24"/>
          <w:lang w:val="hr-HR"/>
        </w:rPr>
      </w:pPr>
    </w:p>
    <w:p w14:paraId="40A9AFA5">
      <w:pPr>
        <w:spacing w:after="0" w:line="240" w:lineRule="auto"/>
        <w:ind w:right="57" w:firstLine="720"/>
        <w:jc w:val="both"/>
        <w:rPr>
          <w:rFonts w:cs="Times New Roman"/>
          <w:sz w:val="24"/>
          <w:szCs w:val="24"/>
          <w:lang w:val="hr-HR"/>
        </w:rPr>
      </w:pPr>
      <w:r>
        <w:rPr>
          <w:rFonts w:cs="Times New Roman"/>
          <w:sz w:val="24"/>
          <w:szCs w:val="24"/>
          <w:lang w:val="hr-HR"/>
        </w:rPr>
        <w:t xml:space="preserve">Temeljem članka 15. stavka 2. Zakona o javnoj nabavi („</w:t>
      </w:r>
      <w:r>
        <w:rPr>
          <w:rFonts w:cs="Times New Roman"/>
          <w:sz w:val="24"/>
          <w:szCs w:val="24"/>
          <w:lang w:val="hr-HR"/>
        </w:rPr>
        <w:t xml:space="preserve">NN</w:t>
      </w:r>
      <w:r>
        <w:rPr>
          <w:rFonts w:cs="Times New Roman"/>
          <w:sz w:val="24"/>
          <w:szCs w:val="24"/>
          <w:lang w:val="hr-HR"/>
        </w:rPr>
        <w:t xml:space="preserve">“, broj 120/16, 114/22, 48/26), članka </w:t>
      </w:r>
      <w:r>
        <w:rPr>
          <w:rFonts w:cs="Times New Roman"/>
          <w:sz w:val="24"/>
          <w:szCs w:val="24"/>
          <w:lang w:val="hr-HR"/>
        </w:rPr>
        <w:t xml:space="preserve">58.</w:t>
      </w:r>
      <w:r>
        <w:rPr>
          <w:rFonts w:cs="Times New Roman"/>
          <w:sz w:val="24"/>
          <w:szCs w:val="24"/>
          <w:lang w:val="hr-HR"/>
        </w:rPr>
        <w:t xml:space="preserve"> Statuta Osnovne škole</w:t>
      </w:r>
      <w:r>
        <w:rPr>
          <w:rFonts w:cs="Times New Roman"/>
          <w:sz w:val="24"/>
          <w:szCs w:val="24"/>
          <w:lang w:val="hr-HR"/>
        </w:rPr>
        <w:t xml:space="preserve"> ,,Valentin Klarin'' Preko </w:t>
      </w:r>
      <w:r>
        <w:rPr>
          <w:rFonts w:cs="Times New Roman"/>
          <w:sz w:val="24"/>
          <w:szCs w:val="24"/>
          <w:lang w:val="hr-HR"/>
        </w:rPr>
        <w:t xml:space="preserve">(u daljnjem tekstu Škola) , Školski odbor, na </w:t>
      </w:r>
      <w:r>
        <w:rPr>
          <w:rFonts w:cs="Times New Roman"/>
          <w:sz w:val="24"/>
          <w:szCs w:val="24"/>
          <w:lang w:val="hr-HR"/>
        </w:rPr>
        <w:t xml:space="preserve">5.</w:t>
      </w:r>
      <w:r>
        <w:rPr>
          <w:rFonts w:cs="Times New Roman"/>
          <w:sz w:val="24"/>
          <w:szCs w:val="24"/>
          <w:lang w:val="hr-HR"/>
        </w:rPr>
        <w:t xml:space="preserve"> sjednici održanoj  dana </w:t>
      </w:r>
      <w:r>
        <w:rPr>
          <w:rFonts w:cs="Times New Roman"/>
          <w:sz w:val="24"/>
          <w:szCs w:val="24"/>
          <w:lang w:val="hr-HR"/>
        </w:rPr>
        <w:t xml:space="preserve">01.09.</w:t>
      </w:r>
      <w:r>
        <w:rPr>
          <w:rFonts w:cs="Times New Roman"/>
          <w:sz w:val="24"/>
          <w:szCs w:val="24"/>
          <w:lang w:val="hr-HR"/>
        </w:rPr>
        <w:t xml:space="preserve">2026. godine  d o n o s i </w:t>
      </w:r>
    </w:p>
    <w:p w14:paraId="48C42A27">
      <w:pPr>
        <w:spacing w:after="0" w:line="240" w:lineRule="auto"/>
        <w:ind w:right="57" w:firstLine="720"/>
        <w:jc w:val="both"/>
        <w:rPr>
          <w:rFonts w:cs="Times New Roman"/>
          <w:sz w:val="24"/>
          <w:szCs w:val="24"/>
          <w:lang w:val="hr-HR"/>
        </w:rPr>
      </w:pPr>
    </w:p>
    <w:p w14:paraId="2891F283">
      <w:pPr>
        <w:spacing w:after="0" w:line="240" w:lineRule="auto"/>
        <w:jc w:val="center"/>
        <w:rPr>
          <w:rFonts w:cs="Times New Roman"/>
          <w:b/>
          <w:bCs/>
          <w:sz w:val="24"/>
          <w:szCs w:val="24"/>
          <w:lang w:val="hr-HR"/>
        </w:rPr>
      </w:pPr>
      <w:r>
        <w:rPr>
          <w:rFonts w:cs="Times New Roman"/>
          <w:b/>
          <w:bCs/>
          <w:sz w:val="24"/>
          <w:szCs w:val="24"/>
          <w:lang w:val="hr-HR"/>
        </w:rPr>
        <w:t xml:space="preserve">P R A V I L N I K </w:t>
      </w:r>
    </w:p>
    <w:p w14:paraId="021144FD">
      <w:pPr>
        <w:spacing w:after="0" w:line="240" w:lineRule="auto"/>
        <w:jc w:val="center"/>
        <w:rPr>
          <w:rFonts w:cs="Times New Roman"/>
          <w:b/>
          <w:bCs/>
          <w:sz w:val="24"/>
          <w:szCs w:val="24"/>
          <w:lang w:val="hr-HR"/>
        </w:rPr>
      </w:pPr>
      <w:r>
        <w:rPr>
          <w:rFonts w:cs="Times New Roman"/>
          <w:b/>
          <w:bCs/>
          <w:sz w:val="24"/>
          <w:szCs w:val="24"/>
          <w:lang w:val="hr-HR"/>
        </w:rPr>
        <w:t xml:space="preserve">O PROVEDBI POSTUPAKA JEDNOSTAVNE NABAVE</w:t>
      </w:r>
    </w:p>
    <w:p w14:paraId="6B9056A1">
      <w:pPr>
        <w:spacing w:after="0" w:line="240" w:lineRule="auto"/>
        <w:jc w:val="center"/>
        <w:rPr>
          <w:rFonts w:cs="Times New Roman"/>
          <w:b/>
          <w:bCs/>
          <w:sz w:val="24"/>
          <w:szCs w:val="24"/>
          <w:lang w:val="hr-HR"/>
        </w:rPr>
      </w:pPr>
    </w:p>
    <w:p w14:paraId="1B584B97">
      <w:pPr>
        <w:spacing w:after="0" w:line="240" w:lineRule="auto"/>
        <w:rPr>
          <w:rFonts w:cs="Times New Roman"/>
          <w:b/>
          <w:bCs/>
          <w:sz w:val="24"/>
          <w:szCs w:val="24"/>
          <w:lang w:val="hr-HR"/>
        </w:rPr>
      </w:pPr>
      <w:r>
        <w:rPr>
          <w:rFonts w:cs="Times New Roman"/>
          <w:b/>
          <w:bCs/>
          <w:sz w:val="24"/>
          <w:szCs w:val="24"/>
          <w:lang w:val="hr-HR"/>
        </w:rPr>
        <w:t xml:space="preserve">I. OPĆE ODREDBE </w:t>
      </w:r>
    </w:p>
    <w:p w14:paraId="25589608">
      <w:pPr>
        <w:spacing w:after="0" w:line="240" w:lineRule="auto"/>
        <w:jc w:val="center"/>
        <w:rPr>
          <w:rFonts w:cs="Times New Roman"/>
          <w:b/>
          <w:bCs/>
          <w:sz w:val="24"/>
          <w:szCs w:val="24"/>
          <w:lang w:val="hr-HR"/>
        </w:rPr>
      </w:pPr>
      <w:r>
        <w:rPr>
          <w:rFonts w:cs="Times New Roman"/>
          <w:b/>
          <w:bCs/>
          <w:sz w:val="24"/>
          <w:szCs w:val="24"/>
          <w:lang w:val="hr-HR"/>
        </w:rPr>
        <w:t xml:space="preserve">Predmet Pravilnika</w:t>
      </w:r>
    </w:p>
    <w:p w14:paraId="528070E5">
      <w:pPr>
        <w:spacing w:after="0" w:line="240" w:lineRule="auto"/>
        <w:jc w:val="center"/>
        <w:rPr>
          <w:rFonts w:cs="Times New Roman"/>
          <w:b/>
          <w:bCs/>
          <w:sz w:val="24"/>
          <w:szCs w:val="24"/>
          <w:lang w:val="hr-HR"/>
        </w:rPr>
      </w:pPr>
      <w:r>
        <w:rPr>
          <w:rFonts w:cs="Times New Roman"/>
          <w:b/>
          <w:bCs/>
          <w:sz w:val="24"/>
          <w:szCs w:val="24"/>
          <w:lang w:val="hr-HR"/>
        </w:rPr>
        <w:t xml:space="preserve">Članak 1.</w:t>
      </w:r>
    </w:p>
    <w:p w14:paraId="2477DFAE">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Ovim Pravilnikom o jednostavnoj nabavi (dalje u tekstu: Pravilnik) uređuju se  postupci, pravila i uvjeti za nabavu roba i usluga naručitelja (dalje u tekstu: Naručitelj) čija je procijenjena vrijednost manja od 50.000,00 eura te nabavu radova čija je procijenjena vrijednost manja od 100.000,00 eura (dalje u tekstu: jednostavna nabava), na koju se ne primjenjuje Zakon o javnoj nabavi ("Narodne novine", broj 120/16,  114/22 i 48/26; dalje u tekstu: Zakon) te način komunikacije s gospodarskim subjektima, osiguravanje pravne zaštite putem prigovora te dokumentiranje i čuvanje dokumentacije o provedenim postupcima.  </w:t>
      </w:r>
    </w:p>
    <w:p w14:paraId="25CCCB90">
      <w:pPr>
        <w:widowControl w:val="false"/>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Procijenjena vrijednost jednostavne nabave iz stavka 1. ovog članka određuje se odgovarajućom primjenom odredbi Zakona. </w:t>
      </w:r>
    </w:p>
    <w:p w14:paraId="3CAA1360">
      <w:pPr>
        <w:widowControl w:val="false"/>
        <w:spacing w:after="0" w:line="240" w:lineRule="auto"/>
        <w:ind w:right="57"/>
        <w:jc w:val="both"/>
        <w:rPr>
          <w:rFonts w:eastAsia="Times New Roman" w:cs="Times New Roman"/>
          <w:color w:val="000000"/>
          <w:sz w:val="24"/>
          <w:szCs w:val="24"/>
          <w:lang w:val="hr-HR"/>
        </w:rPr>
      </w:pPr>
      <w:r>
        <w:rPr>
          <w:rFonts w:eastAsia="Times New Roman" w:cs="Times New Roman"/>
          <w:color w:val="000000"/>
          <w:sz w:val="24"/>
          <w:szCs w:val="24"/>
          <w:lang w:val="hr-HR"/>
        </w:rPr>
        <w:t xml:space="preserve">Svrha ovoga Pravilnika je osigurati učinkovito, transparentno i ekonomično trošenje sredstava naručitelja, poticanje tržišnog natjecanja među gospodarskim subjektima te dosljednu primjenu načela javne nabave i sprječavanje sukoba interesa u postupcima jednostavne nabave. </w:t>
      </w:r>
    </w:p>
    <w:p w14:paraId="63B62F53">
      <w:pPr>
        <w:widowControl w:val="false"/>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 </w:t>
      </w:r>
    </w:p>
    <w:p w14:paraId="5F42811B">
      <w:pPr>
        <w:widowControl w:val="false"/>
        <w:spacing w:after="0" w:line="240" w:lineRule="auto"/>
        <w:ind w:left="4430" w:right="57"/>
        <w:rPr>
          <w:rFonts w:cs="Times New Roman"/>
          <w:sz w:val="24"/>
          <w:szCs w:val="24"/>
          <w:lang w:val="hr-HR"/>
        </w:rPr>
      </w:pPr>
      <w:r>
        <w:rPr>
          <w:rFonts w:eastAsia="Times New Roman" w:cs="Times New Roman"/>
          <w:b/>
          <w:color w:val="000000"/>
          <w:sz w:val="24"/>
          <w:szCs w:val="24"/>
          <w:lang w:val="hr-HR"/>
        </w:rPr>
        <w:t xml:space="preserve">Pojmovi </w:t>
      </w:r>
    </w:p>
    <w:p w14:paraId="155FCF9D">
      <w:pPr>
        <w:widowControl w:val="false"/>
        <w:spacing w:after="0" w:line="240" w:lineRule="auto"/>
        <w:ind w:left="4367" w:right="57"/>
        <w:rPr>
          <w:rFonts w:cs="Times New Roman"/>
          <w:sz w:val="24"/>
          <w:szCs w:val="24"/>
          <w:lang w:val="hr-HR"/>
        </w:rPr>
      </w:pPr>
      <w:r>
        <w:rPr>
          <w:rFonts w:eastAsia="Times New Roman" w:cs="Times New Roman"/>
          <w:b/>
          <w:color w:val="000000"/>
          <w:sz w:val="24"/>
          <w:szCs w:val="24"/>
          <w:lang w:val="hr-HR"/>
        </w:rPr>
        <w:t xml:space="preserve">Članak 2. </w:t>
      </w:r>
    </w:p>
    <w:p w14:paraId="17AC759B">
      <w:pPr>
        <w:widowControl w:val="false"/>
        <w:spacing w:after="0" w:line="240" w:lineRule="auto"/>
        <w:ind w:right="57" w:firstLine="361"/>
        <w:rPr>
          <w:rFonts w:cs="Times New Roman"/>
          <w:sz w:val="24"/>
          <w:szCs w:val="24"/>
          <w:lang w:val="hr-HR"/>
        </w:rPr>
      </w:pPr>
      <w:r>
        <w:rPr>
          <w:rFonts w:eastAsia="Times New Roman" w:cs="Times New Roman"/>
          <w:color w:val="000000"/>
          <w:sz w:val="24"/>
          <w:szCs w:val="24"/>
          <w:lang w:val="hr-HR"/>
        </w:rPr>
        <w:t xml:space="preserve">U smislu ovoga Pravilnika pojedini pojmovi imaju sljedeće značenje: </w:t>
      </w:r>
    </w:p>
    <w:p w14:paraId="4E287E4B">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EOJN RH</w:t>
      </w:r>
      <w:r>
        <w:rPr>
          <w:rFonts w:eastAsia="Times New Roman" w:cs="Times New Roman"/>
          <w:color w:val="000000"/>
          <w:sz w:val="24"/>
          <w:szCs w:val="24"/>
          <w:lang w:val="hr-HR"/>
        </w:rPr>
        <w:t xml:space="preserve"> – Elektronički oglasnik javne nabave Republike Hrvatske, </w:t>
      </w:r>
    </w:p>
    <w:p w14:paraId="0281EBED">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modul jednostavne nabave</w:t>
      </w:r>
      <w:r>
        <w:rPr>
          <w:rFonts w:eastAsia="Times New Roman" w:cs="Times New Roman"/>
          <w:color w:val="000000"/>
          <w:sz w:val="24"/>
          <w:szCs w:val="24"/>
          <w:lang w:val="hr-HR"/>
        </w:rPr>
        <w:t xml:space="preserve"> – modul EOJN RH putem kojega se provode postupci jednostavne nabave, </w:t>
      </w:r>
    </w:p>
    <w:p w14:paraId="4D448D0F">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opći akt</w:t>
      </w:r>
      <w:r>
        <w:rPr>
          <w:rFonts w:eastAsia="Times New Roman" w:cs="Times New Roman"/>
          <w:color w:val="000000"/>
          <w:sz w:val="24"/>
          <w:szCs w:val="24"/>
          <w:lang w:val="hr-HR"/>
        </w:rPr>
        <w:t xml:space="preserve"> – ovaj Pravilnik kao opći akt naručitelja u smislu članka 15. stavka 2. Zakona, </w:t>
      </w:r>
    </w:p>
    <w:p w14:paraId="59E44780">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odluka o početku postupka jednostavne nabave</w:t>
      </w:r>
      <w:r>
        <w:rPr>
          <w:rFonts w:eastAsia="Times New Roman" w:cs="Times New Roman"/>
          <w:color w:val="000000"/>
          <w:sz w:val="24"/>
          <w:szCs w:val="24"/>
          <w:lang w:val="hr-HR"/>
        </w:rPr>
        <w:t xml:space="preserve"> – odluka kojom se inicira, odnosno pokreće postupak nabave. </w:t>
      </w:r>
    </w:p>
    <w:p w14:paraId="2597DC2F">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Povjerenstvo za provođenje postupka jednostavne nabave </w:t>
      </w:r>
      <w:r>
        <w:rPr>
          <w:rFonts w:eastAsia="Times New Roman" w:cs="Times New Roman"/>
          <w:color w:val="000000"/>
          <w:sz w:val="24"/>
          <w:szCs w:val="24"/>
          <w:lang w:val="hr-HR"/>
        </w:rPr>
        <w:t xml:space="preserve">- internom odlukom imenuje čelnik Naručitelja i određuje njihove obveze i ovlasti u postupku jednostavne nabave. Sastoji od najmanje tri člana, od kojih najmanje jedan mora posjedovati važeći certifikat u području javne nabave.</w:t>
      </w:r>
      <w:r>
        <w:rPr>
          <w:rFonts w:eastAsia="Times New Roman" w:cs="Times New Roman"/>
          <w:b/>
          <w:color w:val="000000"/>
          <w:sz w:val="24"/>
          <w:szCs w:val="24"/>
          <w:lang w:val="hr-HR"/>
        </w:rPr>
        <w:t xml:space="preserve"> </w:t>
      </w:r>
    </w:p>
    <w:p w14:paraId="4DE6B304">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jednostavna nabava</w:t>
      </w:r>
      <w:r>
        <w:rPr>
          <w:rFonts w:eastAsia="Times New Roman" w:cs="Times New Roman"/>
          <w:color w:val="000000"/>
          <w:sz w:val="24"/>
          <w:szCs w:val="24"/>
          <w:lang w:val="hr-HR"/>
        </w:rPr>
        <w:t xml:space="preserve"> je nabava robe, usluga i radova do vrijednosti pragova iz članka 12. stavka 1. Zakona, za koju naručitelj pravila, uvjete i postupke uređuje ovim Pravilnikom; </w:t>
      </w:r>
    </w:p>
    <w:p w14:paraId="266E8648">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naručitelj</w:t>
      </w:r>
      <w:r>
        <w:rPr>
          <w:rFonts w:eastAsia="Times New Roman" w:cs="Times New Roman"/>
          <w:color w:val="000000"/>
          <w:sz w:val="24"/>
          <w:szCs w:val="24"/>
          <w:lang w:val="hr-HR"/>
        </w:rPr>
        <w:t xml:space="preserve"> je Škola kao javni naručitelj odnosno obveznik primjene propisa o javnoj nabavi; </w:t>
      </w:r>
    </w:p>
    <w:p w14:paraId="79224C39">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gospodarski subjekt</w:t>
      </w:r>
      <w:r>
        <w:rPr>
          <w:rFonts w:eastAsia="Times New Roman" w:cs="Times New Roman"/>
          <w:color w:val="000000"/>
          <w:sz w:val="24"/>
          <w:szCs w:val="24"/>
          <w:lang w:val="hr-HR"/>
        </w:rPr>
        <w:t xml:space="preserve"> je fizička ili pravna osoba, uključujući podružnicu, ili javno </w:t>
      </w:r>
      <w:r>
        <w:rPr>
          <w:rFonts w:eastAsia="Times New Roman" w:cs="Times New Roman"/>
          <w:color w:val="000000"/>
          <w:sz w:val="24"/>
          <w:szCs w:val="24"/>
          <w:lang w:val="hr-HR"/>
        </w:rPr>
        <w:t xml:space="preserve">tijelo, ili zajednica tih osoba ili tijela, koja na tržištu nudi izvođenje radova, isporuku robe ili pružanje usluga; </w:t>
      </w:r>
    </w:p>
    <w:p w14:paraId="33D31F45">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ponuditelj</w:t>
      </w:r>
      <w:r>
        <w:rPr>
          <w:rFonts w:eastAsia="Times New Roman" w:cs="Times New Roman"/>
          <w:color w:val="000000"/>
          <w:sz w:val="24"/>
          <w:szCs w:val="24"/>
          <w:lang w:val="hr-HR"/>
        </w:rPr>
        <w:t xml:space="preserve"> je gospodarski subjekt koji je dostavio ponudu u postupku jednostavne nabave; </w:t>
      </w:r>
    </w:p>
    <w:p w14:paraId="45635795">
      <w:pPr>
        <w:pStyle w:val="Odlomakpopisa"/>
        <w:widowControl w:val="false"/>
        <w:numPr>
          <w:ilvl w:val="0"/>
          <w:numId w:val="5"/>
        </w:numPr>
        <w:spacing w:after="0" w:line="240" w:lineRule="auto"/>
        <w:ind w:right="57"/>
        <w:jc w:val="both"/>
        <w:rPr>
          <w:rFonts w:eastAsia="Times New Roman" w:cs="Times New Roman"/>
          <w:color w:val="000000"/>
          <w:sz w:val="24"/>
          <w:szCs w:val="24"/>
          <w:lang w:val="hr-HR"/>
        </w:rPr>
      </w:pPr>
      <w:r>
        <w:rPr>
          <w:rFonts w:eastAsia="Times New Roman" w:cs="Times New Roman"/>
          <w:b/>
          <w:color w:val="000000"/>
          <w:sz w:val="24"/>
          <w:szCs w:val="24"/>
          <w:lang w:val="hr-HR"/>
        </w:rPr>
        <w:t xml:space="preserve">odabrani ponuditelj</w:t>
      </w:r>
      <w:r>
        <w:rPr>
          <w:rFonts w:eastAsia="Times New Roman" w:cs="Times New Roman"/>
          <w:color w:val="000000"/>
          <w:sz w:val="24"/>
          <w:szCs w:val="24"/>
          <w:lang w:val="hr-HR"/>
        </w:rPr>
        <w:t xml:space="preserve"> je ponuditelj čija je ponuda odlukom naručitelja odabrana kao najpovoljnija; </w:t>
      </w:r>
    </w:p>
    <w:p w14:paraId="0F23CDD7">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procijenjena vrijednost nabave</w:t>
      </w:r>
      <w:r>
        <w:rPr>
          <w:rFonts w:eastAsia="Times New Roman" w:cs="Times New Roman"/>
          <w:color w:val="000000"/>
          <w:sz w:val="24"/>
          <w:szCs w:val="24"/>
          <w:lang w:val="hr-HR"/>
        </w:rPr>
        <w:t xml:space="preserve"> je ukupan procijenjeni iznos nabave bez poreza na dodanu vrijednost, uključujući sve opcije, moguća produljenja ugovora i druge predvidive troškove povezane s predmetom nabave; </w:t>
      </w:r>
    </w:p>
    <w:p w14:paraId="6B9C7B5B">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predmet nabave</w:t>
      </w:r>
      <w:r>
        <w:rPr>
          <w:rFonts w:eastAsia="Times New Roman" w:cs="Times New Roman"/>
          <w:color w:val="000000"/>
          <w:sz w:val="24"/>
          <w:szCs w:val="24"/>
          <w:lang w:val="hr-HR"/>
        </w:rPr>
        <w:t xml:space="preserve"> 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ovoga Pravilnika; </w:t>
      </w:r>
    </w:p>
    <w:p w14:paraId="6D35527C">
      <w:pPr>
        <w:pStyle w:val="Odlomakpopisa"/>
        <w:widowControl w:val="false"/>
        <w:numPr>
          <w:ilvl w:val="0"/>
          <w:numId w:val="5"/>
        </w:numPr>
        <w:spacing w:after="0" w:line="240" w:lineRule="auto"/>
        <w:ind w:right="57"/>
        <w:jc w:val="both"/>
        <w:rPr>
          <w:rFonts w:eastAsia="Times New Roman" w:cs="Times New Roman"/>
          <w:color w:val="000000"/>
          <w:sz w:val="24"/>
          <w:szCs w:val="24"/>
          <w:lang w:val="hr-HR"/>
        </w:rPr>
      </w:pPr>
      <w:r>
        <w:rPr>
          <w:rFonts w:eastAsia="Times New Roman" w:cs="Times New Roman"/>
          <w:b/>
          <w:color w:val="000000"/>
          <w:sz w:val="24"/>
          <w:szCs w:val="24"/>
          <w:lang w:val="hr-HR"/>
        </w:rPr>
        <w:t xml:space="preserve">poziv na dostavu ponuda</w:t>
      </w:r>
      <w:r>
        <w:rPr>
          <w:rFonts w:eastAsia="Times New Roman" w:cs="Times New Roman"/>
          <w:color w:val="000000"/>
          <w:sz w:val="24"/>
          <w:szCs w:val="24"/>
          <w:lang w:val="hr-HR"/>
        </w:rPr>
        <w:t xml:space="preserve"> je osnovni dokument odnosno skup podataka postupka jednostavne nabave kojim naručitelj gospodarskim subjektima priopćava predmet nabave, uvjete sudjelovanja, kriterije, rokove, način dostave ponuda i druga pravila potrebna za izradu i dostavu ponude; </w:t>
      </w:r>
    </w:p>
    <w:p w14:paraId="31AA45C6">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dokumentacija o nabavi</w:t>
      </w:r>
      <w:r>
        <w:rPr>
          <w:rFonts w:eastAsia="Times New Roman" w:cs="Times New Roman"/>
          <w:color w:val="000000"/>
          <w:sz w:val="24"/>
          <w:szCs w:val="24"/>
          <w:lang w:val="hr-HR"/>
        </w:rPr>
        <w:t xml:space="preserve"> obuhvaća poziv na dostavu ponuda i sve njegove priloge, uključujući tehničke specifikacije, troškovnik, prijedlog ugovora, obrasce, nacrte, izjave i druge dokumente potrebne za izradu ponude. Ako se postupak provodi putem EOJN RH, podaci uneseni u sustav i dokumenti generirani iz sustava čine sastavni dio dokumentacije o nabavi, dok se dodatni dokumenti učitavaju samo kada su potrebni radi opisa predmeta nabave, troškovnika, ugovornih uvjeta ili drugih elemenata koji nisu obuhvaćeni podacima unesenima u sustav; </w:t>
      </w:r>
    </w:p>
    <w:p w14:paraId="6C4397F7">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elektronička sredstva komunikacije</w:t>
      </w:r>
      <w:r>
        <w:rPr>
          <w:rFonts w:eastAsia="Times New Roman" w:cs="Times New Roman"/>
          <w:color w:val="000000"/>
          <w:sz w:val="24"/>
          <w:szCs w:val="24"/>
          <w:lang w:val="hr-HR"/>
        </w:rPr>
        <w:t xml:space="preserve"> su sredstva i sustavi kojima se komunikacija u postupku jednostavne nabave obavlja elektroničkim putem, uključujući elektroničku poštu, EOJN RH i druge odgovarajuće elektroničke sustave koje koristi naručitelj; </w:t>
      </w:r>
    </w:p>
    <w:p w14:paraId="7829D32A">
      <w:pPr>
        <w:pStyle w:val="Odlomakpopisa"/>
        <w:widowControl w:val="false"/>
        <w:numPr>
          <w:ilvl w:val="0"/>
          <w:numId w:val="5"/>
        </w:numPr>
        <w:spacing w:after="0" w:line="240" w:lineRule="auto"/>
        <w:ind w:right="57"/>
        <w:jc w:val="both"/>
        <w:rPr>
          <w:rFonts w:eastAsia="Times New Roman" w:cs="Times New Roman"/>
          <w:color w:val="000000"/>
          <w:sz w:val="24"/>
          <w:szCs w:val="24"/>
          <w:lang w:val="hr-HR"/>
        </w:rPr>
      </w:pPr>
      <w:r>
        <w:rPr>
          <w:rFonts w:eastAsia="Times New Roman" w:cs="Times New Roman"/>
          <w:b/>
          <w:color w:val="000000"/>
          <w:sz w:val="24"/>
          <w:szCs w:val="24"/>
          <w:lang w:val="hr-HR"/>
        </w:rPr>
        <w:t xml:space="preserve">neprihvatljiva ponuda</w:t>
      </w:r>
      <w:r>
        <w:rPr>
          <w:rFonts w:eastAsia="Times New Roman" w:cs="Times New Roman"/>
          <w:color w:val="000000"/>
          <w:sz w:val="24"/>
          <w:szCs w:val="24"/>
          <w:lang w:val="hr-HR"/>
        </w:rPr>
        <w:t xml:space="preserve"> u smislu ovoga Pravilnika je ponuda koja nije sukladna pozivu odnosno dokumentaciji o nabavi, ovome Pravilniku ili primjenjivim propisima, ili kod koje je tijekom pregleda i ocjene ponuda utvrđen razlog za odbijanje propisan ovim Pravilnikom; </w:t>
      </w:r>
    </w:p>
    <w:p w14:paraId="7796FCF2">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prigovor</w:t>
      </w:r>
      <w:r>
        <w:rPr>
          <w:rFonts w:eastAsia="Times New Roman" w:cs="Times New Roman"/>
          <w:color w:val="000000"/>
          <w:sz w:val="24"/>
          <w:szCs w:val="24"/>
          <w:lang w:val="hr-HR"/>
        </w:rPr>
        <w:t xml:space="preserve"> je sredstvo pravne zaštite koje gospodarski subjekt može podnijeti čelniku naručitelja odnosno odgovornoj osobi naručitelja u postupcima jednostavne nabave procijenjene vrijednosti veće od 15.000,00 eura, u skladu s ovim Pravilnikom; </w:t>
      </w:r>
    </w:p>
    <w:p w14:paraId="7672D881">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ugovor o nabavi</w:t>
      </w:r>
      <w:r>
        <w:rPr>
          <w:rFonts w:eastAsia="Times New Roman" w:cs="Times New Roman"/>
          <w:color w:val="000000"/>
          <w:sz w:val="24"/>
          <w:szCs w:val="24"/>
          <w:lang w:val="hr-HR"/>
        </w:rPr>
        <w:t xml:space="preserve"> je ugovor sklopljen s odabranim ponuditeljem radi nabave robe, usluga ili radova u postupku jednostavne nabave; </w:t>
      </w:r>
    </w:p>
    <w:p w14:paraId="2EE8D229">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narudžbenica</w:t>
      </w:r>
      <w:r>
        <w:rPr>
          <w:rFonts w:eastAsia="Times New Roman" w:cs="Times New Roman"/>
          <w:color w:val="000000"/>
          <w:sz w:val="24"/>
          <w:szCs w:val="24"/>
          <w:lang w:val="hr-HR"/>
        </w:rPr>
        <w:t xml:space="preserve"> je pisani ili elektronički dokument kojim naručitelj naručuje robu, usluge ili radove od gospodarskog subjekta, a koji može predstavljati osnovu za izvršenje nabave kada je to primjereno prirodi i vrijednosti predmeta nabave; </w:t>
      </w:r>
    </w:p>
    <w:p w14:paraId="34D34E21">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sukob interesa</w:t>
      </w:r>
      <w:r>
        <w:rPr>
          <w:rFonts w:eastAsia="Times New Roman" w:cs="Times New Roman"/>
          <w:color w:val="000000"/>
          <w:sz w:val="24"/>
          <w:szCs w:val="24"/>
          <w:lang w:val="hr-HR"/>
        </w:rPr>
        <w:t xml:space="preserve"> je svaka situacija u kojoj privatni interes osobe koja sudjeluje u planiranju, pripremi, provedbi ili odlučivanju u postupku jednostavne nabave može utjecati ili se može smatrati da utječe na njezinu nepristranost i objektivnost, sukladno odredbama Zakona o javnoj nabavi; </w:t>
      </w:r>
    </w:p>
    <w:p w14:paraId="29691CA9">
      <w:pPr>
        <w:pStyle w:val="Odlomakpopisa"/>
        <w:widowControl w:val="false"/>
        <w:numPr>
          <w:ilvl w:val="0"/>
          <w:numId w:val="5"/>
        </w:numPr>
        <w:spacing w:after="0" w:line="240" w:lineRule="auto"/>
        <w:ind w:right="57"/>
        <w:jc w:val="both"/>
        <w:rPr>
          <w:rFonts w:cs="Times New Roman"/>
          <w:sz w:val="24"/>
          <w:szCs w:val="24"/>
          <w:lang w:val="hr-HR"/>
        </w:rPr>
      </w:pPr>
      <w:r>
        <w:rPr>
          <w:rFonts w:eastAsia="Times New Roman" w:cs="Times New Roman"/>
          <w:b/>
          <w:color w:val="000000"/>
          <w:sz w:val="24"/>
          <w:szCs w:val="24"/>
          <w:lang w:val="hr-HR"/>
        </w:rPr>
        <w:t xml:space="preserve">odgovarajuće dokumentiranje</w:t>
      </w:r>
      <w:r>
        <w:rPr>
          <w:rFonts w:eastAsia="Times New Roman" w:cs="Times New Roman"/>
          <w:color w:val="000000"/>
          <w:sz w:val="24"/>
          <w:szCs w:val="24"/>
          <w:lang w:val="hr-HR"/>
        </w:rPr>
        <w:t xml:space="preserve"> je razmjerno i provjerljivo evidentiranje radnji, odluka, činjenica i isprava povezanih s planiranjem, pripremom, provedbom, odabirom, ugovaranjem i izvršenjem postupka jednostavne nabave, na način koji omogućuje naknadnu provjeru zakonitosti, primjenu načela javne nabave, svrsishodnosti i ekonomičnosti trošenja sredstava. Odgovarajuće dokumentiranje obuhvaća osobito službene bilješke, odobrenja, analizu tržišta, pozive, zaprimljene ponude, komunikaciju </w:t>
      </w:r>
      <w:r>
        <w:rPr>
          <w:rFonts w:eastAsia="Times New Roman" w:cs="Times New Roman"/>
          <w:color w:val="000000"/>
          <w:sz w:val="24"/>
          <w:szCs w:val="24"/>
          <w:lang w:val="hr-HR"/>
        </w:rPr>
        <w:t xml:space="preserve">s gospodarskim subjektima, pojašnjenja, zapisnike, odluke, narudžbenice, ugovore, dokaze o izvršenju i druge dokumente, ovisno o vrijednosti, složenosti i načinu provedbe postupka jednostavne nabave. </w:t>
      </w:r>
    </w:p>
    <w:p w14:paraId="407D3C9C">
      <w:pPr>
        <w:widowControl w:val="false"/>
        <w:spacing w:after="0" w:line="240" w:lineRule="auto"/>
        <w:ind w:right="57" w:firstLine="361"/>
        <w:rPr>
          <w:rFonts w:cs="Times New Roman"/>
          <w:sz w:val="24"/>
          <w:szCs w:val="24"/>
          <w:lang w:val="hr-HR"/>
        </w:rPr>
      </w:pPr>
      <w:r>
        <w:rPr>
          <w:rFonts w:eastAsia="Times New Roman" w:cs="Times New Roman"/>
          <w:color w:val="000000"/>
          <w:sz w:val="24"/>
          <w:szCs w:val="24"/>
          <w:lang w:val="hr-HR"/>
        </w:rPr>
        <w:t xml:space="preserve">Izrazi koji se koriste u ovome Pravilniku, a imaju rodno značenje, odnose se jednako na muški i ženski rod. </w:t>
      </w:r>
    </w:p>
    <w:p w14:paraId="1F8B15E0">
      <w:pPr>
        <w:widowControl w:val="false"/>
        <w:spacing w:after="0" w:line="240" w:lineRule="auto"/>
        <w:ind w:right="57" w:firstLine="361"/>
        <w:rPr>
          <w:rFonts w:eastAsia="Times New Roman" w:cs="Times New Roman"/>
          <w:color w:val="000000"/>
          <w:sz w:val="24"/>
          <w:szCs w:val="24"/>
          <w:lang w:val="hr-HR"/>
        </w:rPr>
      </w:pPr>
      <w:r>
        <w:rPr>
          <w:rFonts w:eastAsia="Times New Roman" w:cs="Times New Roman"/>
          <w:color w:val="000000"/>
          <w:sz w:val="24"/>
          <w:szCs w:val="24"/>
          <w:lang w:val="hr-HR"/>
        </w:rPr>
        <w:t xml:space="preserve">Pojmovi koji nisu posebno definirani ovim Pravilnikom imaju značenje utvrđeno Zakonom i podzakonskim propisima kojima se uređuje područje javne nabave. </w:t>
      </w:r>
    </w:p>
    <w:p w14:paraId="35D2E6C0">
      <w:pPr>
        <w:widowControl w:val="false"/>
        <w:spacing w:after="0" w:line="240" w:lineRule="auto"/>
        <w:ind w:right="57"/>
        <w:rPr>
          <w:rFonts w:eastAsia="Times New Roman" w:cs="Times New Roman"/>
          <w:color w:val="000000"/>
          <w:sz w:val="24"/>
          <w:szCs w:val="24"/>
          <w:lang w:val="hr-HR"/>
        </w:rPr>
      </w:pPr>
    </w:p>
    <w:p w14:paraId="76EB2C50">
      <w:pPr>
        <w:widowControl w:val="false"/>
        <w:spacing w:after="0" w:line="240" w:lineRule="auto"/>
        <w:ind w:left="1" w:right="57"/>
        <w:rPr>
          <w:rFonts w:cs="Times New Roman"/>
          <w:sz w:val="24"/>
          <w:szCs w:val="24"/>
          <w:lang w:val="hr-HR"/>
        </w:rPr>
      </w:pPr>
      <w:r>
        <w:rPr>
          <w:rFonts w:eastAsia="Times New Roman" w:cs="Times New Roman"/>
          <w:b/>
          <w:color w:val="000000"/>
          <w:sz w:val="24"/>
          <w:szCs w:val="24"/>
          <w:lang w:val="hr-HR"/>
        </w:rPr>
        <w:t xml:space="preserve">Primjena Pravilnika </w:t>
      </w:r>
    </w:p>
    <w:p w14:paraId="370FEDBA">
      <w:pPr>
        <w:widowControl w:val="false"/>
        <w:spacing w:after="0" w:line="240" w:lineRule="auto"/>
        <w:ind w:left="4367" w:right="57"/>
        <w:rPr>
          <w:rFonts w:cs="Times New Roman"/>
          <w:sz w:val="24"/>
          <w:szCs w:val="24"/>
          <w:lang w:val="hr-HR"/>
        </w:rPr>
      </w:pPr>
      <w:r>
        <w:rPr>
          <w:rFonts w:eastAsia="Times New Roman" w:cs="Times New Roman"/>
          <w:b/>
          <w:color w:val="000000"/>
          <w:sz w:val="24"/>
          <w:szCs w:val="24"/>
          <w:lang w:val="hr-HR"/>
        </w:rPr>
        <w:t xml:space="preserve">Članak 3. </w:t>
      </w:r>
    </w:p>
    <w:p w14:paraId="791FCB5D">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Sve ustrojstvene jedinice naručitelja  obvezni su primjenjivati odredbe ovoga Pravilnika poštujući načela javne nabave iz Zakona, na način koji omogućava učinkovitu nabavu te ekonomično trošenje sredstava za nabavu.  </w:t>
      </w:r>
    </w:p>
    <w:p w14:paraId="53C9A3F9">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Odredbe ovoga Pravilnika primjenjuju se na nabavu robe, usluga i radova bez obzira na izvor financiranja, osim ako posebnim propisom, pravilima financiranja, ugovorom o dodjeli sredstava ili drugim obvezujućim aktom nisu propisana stroža pravila postupanja. </w:t>
      </w:r>
    </w:p>
    <w:p w14:paraId="79A46497">
      <w:pPr>
        <w:widowControl w:val="false"/>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Provedba jednostavne nabave prema ovom Pravilniku ne smije se koristiti radi izbjegavanja primjene Zakona, osobito umjetnim dijeljenjem predmeta nabave, nepravilnim određivanjem procijenjene vrijednosti nabave ili provedbom više odvojenih postupaka za istovrsne ili funkcionalno povezane predmete nabave. </w:t>
      </w:r>
    </w:p>
    <w:p w14:paraId="32B3EC98">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Na pitanja koja nisu uređena ovim Pravilnikom na odgovarajući se način primjenjuju odredbe Zakona te drugi propisi i akti Naručitelja ovisno o pojedinom predmetu nabave. </w:t>
      </w:r>
    </w:p>
    <w:p w14:paraId="3B8840E3">
      <w:pPr>
        <w:widowControl w:val="false"/>
        <w:spacing w:after="0" w:line="240" w:lineRule="auto"/>
        <w:ind w:right="57" w:firstLine="720"/>
        <w:jc w:val="both"/>
        <w:rPr>
          <w:rFonts w:eastAsia="Times New Roman" w:cs="Times New Roman"/>
          <w:color w:val="000000"/>
          <w:sz w:val="24"/>
          <w:szCs w:val="24"/>
          <w:lang w:val="hr-HR"/>
        </w:rPr>
      </w:pPr>
    </w:p>
    <w:p w14:paraId="752E0ABF">
      <w:pPr>
        <w:widowControl w:val="false"/>
        <w:spacing w:after="0" w:line="240" w:lineRule="auto"/>
        <w:ind w:right="57" w:firstLine="720"/>
        <w:jc w:val="both"/>
        <w:rPr>
          <w:rFonts w:eastAsia="Times New Roman" w:cs="Times New Roman"/>
          <w:color w:val="000000"/>
          <w:sz w:val="24"/>
          <w:szCs w:val="24"/>
          <w:lang w:val="hr-HR"/>
        </w:rPr>
      </w:pPr>
    </w:p>
    <w:p w14:paraId="025F29C4">
      <w:pPr>
        <w:widowControl w:val="false"/>
        <w:spacing w:after="0" w:line="240" w:lineRule="auto"/>
        <w:ind w:left="3345" w:right="57"/>
        <w:rPr>
          <w:rFonts w:cs="Times New Roman"/>
          <w:sz w:val="24"/>
          <w:szCs w:val="24"/>
          <w:lang w:val="hr-HR"/>
        </w:rPr>
      </w:pPr>
      <w:r>
        <w:rPr>
          <w:rFonts w:eastAsia="Times New Roman" w:cs="Times New Roman"/>
          <w:b/>
          <w:color w:val="000000"/>
          <w:sz w:val="24"/>
          <w:szCs w:val="24"/>
          <w:lang w:val="hr-HR"/>
        </w:rPr>
        <w:t xml:space="preserve">Izuzeća od primjene Pravilnika </w:t>
      </w:r>
    </w:p>
    <w:p w14:paraId="17D1F8BB">
      <w:pPr>
        <w:widowControl w:val="false"/>
        <w:spacing w:after="0" w:line="240" w:lineRule="auto"/>
        <w:ind w:left="4367" w:right="57"/>
        <w:rPr>
          <w:rFonts w:cs="Times New Roman"/>
          <w:sz w:val="24"/>
          <w:szCs w:val="24"/>
          <w:lang w:val="hr-HR"/>
        </w:rPr>
      </w:pPr>
      <w:r>
        <w:rPr>
          <w:rFonts w:eastAsia="Times New Roman" w:cs="Times New Roman"/>
          <w:b/>
          <w:color w:val="000000"/>
          <w:sz w:val="24"/>
          <w:szCs w:val="24"/>
          <w:lang w:val="hr-HR"/>
        </w:rPr>
        <w:t xml:space="preserve">Članak 4. </w:t>
      </w:r>
    </w:p>
    <w:p w14:paraId="6D3FDE12">
      <w:pPr>
        <w:widowControl w:val="false"/>
        <w:spacing w:after="0" w:line="240" w:lineRule="auto"/>
        <w:ind w:right="57" w:firstLine="720"/>
        <w:rPr>
          <w:rFonts w:cs="Times New Roman"/>
          <w:sz w:val="24"/>
          <w:szCs w:val="24"/>
          <w:lang w:val="hr-HR"/>
        </w:rPr>
      </w:pPr>
      <w:r>
        <w:rPr>
          <w:rFonts w:eastAsia="Times New Roman" w:cs="Times New Roman"/>
          <w:color w:val="000000"/>
          <w:sz w:val="24"/>
          <w:szCs w:val="24"/>
          <w:lang w:val="hr-HR"/>
        </w:rPr>
        <w:t xml:space="preserve">Odredbe ovoga Pravilnika ne primjenjuju se na nabave koje su izuzete od primjene Zakona sukladno odredbama toga Zakona. </w:t>
      </w:r>
    </w:p>
    <w:p w14:paraId="46375BF7">
      <w:pPr>
        <w:widowControl w:val="false"/>
        <w:spacing w:after="0" w:line="240" w:lineRule="auto"/>
        <w:ind w:right="57" w:firstLine="709"/>
        <w:rPr>
          <w:rFonts w:cs="Times New Roman"/>
          <w:sz w:val="24"/>
          <w:szCs w:val="24"/>
          <w:lang w:val="hr-HR"/>
        </w:rPr>
      </w:pPr>
      <w:r>
        <w:rPr>
          <w:rFonts w:eastAsia="Times New Roman" w:cs="Times New Roman"/>
          <w:color w:val="000000"/>
          <w:sz w:val="24"/>
          <w:szCs w:val="24"/>
          <w:lang w:val="hr-HR"/>
        </w:rPr>
        <w:t xml:space="preserve">Odredbe ovoga Pravilnika ne primjenjuju se na: </w:t>
      </w:r>
    </w:p>
    <w:p w14:paraId="54CFDD48">
      <w:pPr>
        <w:pStyle w:val="Odlomakpopisa"/>
        <w:widowControl w:val="false"/>
        <w:numPr>
          <w:ilvl w:val="0"/>
          <w:numId w:val="9"/>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plaćanja koja se izvršavaju temeljem već sklopljenih ugovora, sporazuma ili zakonskih obveza naručitelja, a koja se odnose osobito na zakupnine, komunalne usluge, obvezne članarine te druga slična plaćanja koja proizlaze iz već preuzetih ugovornih ili zakonskih obveza naručitelja, </w:t>
      </w:r>
    </w:p>
    <w:p w14:paraId="45690918">
      <w:pPr>
        <w:pStyle w:val="Odlomakpopisa"/>
        <w:widowControl w:val="false"/>
        <w:numPr>
          <w:ilvl w:val="0"/>
          <w:numId w:val="9"/>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plaćanje kotizacija za sudjelovanje na stručnim skupovima, konferencijama, seminarima i drugim stručnim događanjima, </w:t>
      </w:r>
    </w:p>
    <w:p w14:paraId="698EB3CF">
      <w:pPr>
        <w:pStyle w:val="Odlomakpopisa"/>
        <w:widowControl w:val="false"/>
        <w:numPr>
          <w:ilvl w:val="0"/>
          <w:numId w:val="9"/>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troškove službenih putovanja, uključujući troškove smještaja, prijevoza i dnevnice, koji se podmiruju sukladno posebnim propisima, </w:t>
      </w:r>
    </w:p>
    <w:p w14:paraId="22950117">
      <w:pPr>
        <w:pStyle w:val="Odlomakpopisa"/>
        <w:widowControl w:val="false"/>
        <w:numPr>
          <w:ilvl w:val="0"/>
          <w:numId w:val="9"/>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pretplate na stručnu literaturu, baze podataka, časopise i elektroničke publikacije, ako se nabavljaju izravno od izdavača ili ovlaštenog distributera, </w:t>
      </w:r>
    </w:p>
    <w:p w14:paraId="4957909E">
      <w:pPr>
        <w:pStyle w:val="Odlomakpopisa"/>
        <w:widowControl w:val="false"/>
        <w:numPr>
          <w:ilvl w:val="0"/>
          <w:numId w:val="9"/>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nabavu roba, usluga ili radova od pravnih osoba nad kojima naručitelj ostvaruje kontrolu u skladu s odredbama Zakona. </w:t>
      </w:r>
    </w:p>
    <w:p w14:paraId="3F53DF41">
      <w:pPr>
        <w:widowControl w:val="false"/>
        <w:spacing w:after="0" w:line="240" w:lineRule="auto"/>
        <w:ind w:right="57" w:firstLine="709"/>
        <w:jc w:val="both"/>
        <w:rPr>
          <w:rFonts w:eastAsia="Times New Roman" w:cs="Times New Roman"/>
          <w:color w:val="000000"/>
          <w:sz w:val="24"/>
          <w:szCs w:val="24"/>
          <w:lang w:val="hr-HR"/>
        </w:rPr>
      </w:pPr>
      <w:r>
        <w:rPr>
          <w:rFonts w:eastAsia="Times New Roman" w:cs="Times New Roman"/>
          <w:color w:val="000000"/>
          <w:sz w:val="24"/>
          <w:szCs w:val="24"/>
          <w:lang w:val="hr-HR"/>
        </w:rPr>
        <w:t xml:space="preserve">U slučajevima iz stavka 2. ovoga članka naručitelj je dužan osigurati da se sredstva koriste svrsishodno i ekonomično, uz odgovarajuće dokumentiranje razloga izuzeća. </w:t>
      </w:r>
    </w:p>
    <w:p w14:paraId="0FA8A2FF">
      <w:pPr>
        <w:widowControl w:val="false"/>
        <w:spacing w:after="0" w:line="240" w:lineRule="auto"/>
        <w:ind w:right="57" w:firstLine="709"/>
        <w:jc w:val="both"/>
        <w:rPr>
          <w:rFonts w:cs="Times New Roman"/>
          <w:sz w:val="24"/>
          <w:szCs w:val="24"/>
          <w:lang w:val="hr-HR"/>
        </w:rPr>
      </w:pPr>
    </w:p>
    <w:p w14:paraId="5381D712">
      <w:pPr>
        <w:widowControl w:val="false"/>
        <w:spacing w:after="0" w:line="240" w:lineRule="auto"/>
        <w:ind w:left="3465" w:right="57"/>
        <w:rPr>
          <w:rFonts w:cs="Times New Roman"/>
          <w:sz w:val="24"/>
          <w:szCs w:val="24"/>
          <w:lang w:val="hr-HR"/>
        </w:rPr>
      </w:pPr>
      <w:r>
        <w:rPr>
          <w:rFonts w:eastAsia="Times New Roman" w:cs="Times New Roman"/>
          <w:b/>
          <w:color w:val="000000"/>
          <w:sz w:val="24"/>
          <w:szCs w:val="24"/>
          <w:lang w:val="hr-HR"/>
        </w:rPr>
        <w:t xml:space="preserve">Žurna ili neodgodiva nabava </w:t>
      </w:r>
    </w:p>
    <w:p w14:paraId="37249D7D">
      <w:pPr>
        <w:widowControl w:val="false"/>
        <w:spacing w:after="0" w:line="240" w:lineRule="auto"/>
        <w:ind w:left="4367" w:right="57"/>
        <w:rPr>
          <w:rFonts w:cs="Times New Roman"/>
          <w:sz w:val="24"/>
          <w:szCs w:val="24"/>
          <w:lang w:val="hr-HR"/>
        </w:rPr>
      </w:pPr>
      <w:r>
        <w:rPr>
          <w:rFonts w:eastAsia="Times New Roman" w:cs="Times New Roman"/>
          <w:b/>
          <w:color w:val="000000"/>
          <w:sz w:val="24"/>
          <w:szCs w:val="24"/>
          <w:lang w:val="hr-HR"/>
        </w:rPr>
        <w:t xml:space="preserve">Članak 5. </w:t>
      </w:r>
    </w:p>
    <w:p w14:paraId="12BA96FC">
      <w:pPr>
        <w:widowControl w:val="false"/>
        <w:spacing w:after="0" w:line="240" w:lineRule="auto"/>
        <w:ind w:right="57" w:firstLine="720"/>
        <w:jc w:val="both"/>
        <w:rPr>
          <w:rFonts w:eastAsia="Times New Roman" w:cs="Times New Roman"/>
          <w:b/>
          <w:color w:val="000000"/>
          <w:sz w:val="24"/>
          <w:szCs w:val="24"/>
          <w:lang w:val="hr-HR"/>
        </w:rPr>
      </w:pPr>
      <w:r>
        <w:rPr>
          <w:rFonts w:eastAsia="Times New Roman" w:cs="Times New Roman"/>
          <w:color w:val="000000"/>
          <w:sz w:val="24"/>
          <w:szCs w:val="24"/>
          <w:lang w:val="hr-HR"/>
        </w:rPr>
        <w:t xml:space="preserve">Žurna ili neodgodiva nabava može se provesti prema pojednostavljenim pravilima ovoga članka</w:t>
      </w:r>
      <w:r>
        <w:rPr>
          <w:rFonts w:eastAsia="Times New Roman" w:cs="Times New Roman"/>
          <w:b/>
          <w:color w:val="000000"/>
          <w:sz w:val="24"/>
          <w:szCs w:val="24"/>
          <w:lang w:val="hr-HR"/>
        </w:rPr>
        <w:t xml:space="preserve"> </w:t>
      </w:r>
      <w:r>
        <w:rPr>
          <w:rFonts w:eastAsia="Times New Roman" w:cs="Times New Roman"/>
          <w:color w:val="000000"/>
          <w:sz w:val="24"/>
          <w:szCs w:val="24"/>
          <w:lang w:val="hr-HR"/>
        </w:rPr>
        <w:t xml:space="preserve">ako postoje okolnosti koje naručitelj nije mogao unaprijed predvidjeti niti na njih utjecati, a zbog kojih bi provedba redovitog postupka jednostavne nabave onemogućila pravodobno izvršenje obveza naručitelja ili uzrokovala znatnu štetu u obavljanju njegove </w:t>
      </w:r>
      <w:r>
        <w:rPr>
          <w:rFonts w:eastAsia="Times New Roman" w:cs="Times New Roman"/>
          <w:color w:val="000000"/>
          <w:sz w:val="24"/>
          <w:szCs w:val="24"/>
          <w:lang w:val="hr-HR"/>
        </w:rPr>
        <w:t xml:space="preserve">djelatnosti.  Primjena pojednostavljenog postupanja zbog žurnosti ne oslobađa naručitelja obveze poštivanja načela ekonomičnog i svrhovitog trošenja sredstava, obveze izbjegavanja sukoba interesa, obveze obrazloženja razloga žurnosti i obveze odgovarajućeg dokumentiranja provedene nabave.</w:t>
      </w:r>
      <w:r>
        <w:rPr>
          <w:rFonts w:eastAsia="Times New Roman" w:cs="Times New Roman"/>
          <w:b/>
          <w:color w:val="000000"/>
          <w:sz w:val="24"/>
          <w:szCs w:val="24"/>
          <w:lang w:val="hr-HR"/>
        </w:rPr>
        <w:t xml:space="preserve"> </w:t>
      </w:r>
    </w:p>
    <w:p w14:paraId="1B3EFB78">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Postojanje žurne ili neodgodive potrebe mora biti pisano obrazloženo, uz navođenje okolnosti koje naručitelj nije mogao unaprijed predvidjeti te razloga zbog kojih nije moguće provesti postupak sukladno ovom Pravilniku.</w:t>
      </w:r>
      <w:r>
        <w:rPr>
          <w:rFonts w:eastAsia="Times New Roman" w:cs="Times New Roman"/>
          <w:b/>
          <w:color w:val="000000"/>
          <w:sz w:val="24"/>
          <w:szCs w:val="24"/>
          <w:lang w:val="hr-HR"/>
        </w:rPr>
        <w:t xml:space="preserve"> </w:t>
      </w:r>
    </w:p>
    <w:p w14:paraId="5A41EDBA">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Nabava iz ovoga članka provodi se na temelju pisanog odobrenja čelnika naručitelja ili osobe koju on ovlasti. </w:t>
      </w:r>
    </w:p>
    <w:p w14:paraId="2E49EF2F">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Kada je to moguće s obzirom na okolnosti, naručitelj će prije sklapanja ugovora ili izdavanja  narudžbenice prikupiti ponudu jednog ili više gospodarskih subjekata. </w:t>
      </w:r>
    </w:p>
    <w:p w14:paraId="6569A627">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Nabava iz ovoga članka može se provesti za predmete nabave čija je procijenjena vrijednost jednaka ili manja od 25.000,00 eura za robu i usluge odnosno 45.000,00 eura za radove. </w:t>
      </w:r>
    </w:p>
    <w:p w14:paraId="21181C55">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O provedenom postupku jednostavne nabave sastavlja se bilješka ili drugi odgovarajući dokument koji obvezno sadrži opis okolnosti žurnosti i način odabira gospodarskog subjekta. </w:t>
      </w:r>
    </w:p>
    <w:p w14:paraId="3503AD84">
      <w:pPr>
        <w:widowControl w:val="false"/>
        <w:spacing w:after="0" w:line="240" w:lineRule="auto"/>
        <w:ind w:right="57" w:firstLine="720"/>
        <w:jc w:val="both"/>
        <w:rPr>
          <w:rFonts w:cs="Times New Roman"/>
          <w:sz w:val="24"/>
          <w:szCs w:val="24"/>
          <w:lang w:val="hr-HR"/>
        </w:rPr>
      </w:pPr>
    </w:p>
    <w:p w14:paraId="6924631D">
      <w:pPr>
        <w:widowControl w:val="false"/>
        <w:spacing w:after="0" w:line="240" w:lineRule="auto"/>
        <w:ind w:left="3439" w:right="57"/>
        <w:rPr>
          <w:rFonts w:cs="Times New Roman"/>
          <w:sz w:val="24"/>
          <w:szCs w:val="24"/>
          <w:lang w:val="hr-HR"/>
        </w:rPr>
      </w:pPr>
      <w:r>
        <w:rPr>
          <w:rFonts w:eastAsia="Times New Roman" w:cs="Times New Roman"/>
          <w:b/>
          <w:color w:val="000000"/>
          <w:sz w:val="24"/>
          <w:szCs w:val="24"/>
          <w:lang w:val="hr-HR"/>
        </w:rPr>
        <w:t xml:space="preserve">Sprječavanje sukoba interesa </w:t>
      </w:r>
    </w:p>
    <w:p w14:paraId="33FB3849">
      <w:pPr>
        <w:widowControl w:val="false"/>
        <w:spacing w:after="0" w:line="240" w:lineRule="auto"/>
        <w:ind w:left="4367" w:right="57"/>
        <w:rPr>
          <w:rFonts w:cs="Times New Roman"/>
          <w:sz w:val="24"/>
          <w:szCs w:val="24"/>
          <w:lang w:val="hr-HR"/>
        </w:rPr>
      </w:pPr>
      <w:r>
        <w:rPr>
          <w:rFonts w:eastAsia="Times New Roman" w:cs="Times New Roman"/>
          <w:b/>
          <w:color w:val="000000"/>
          <w:sz w:val="24"/>
          <w:szCs w:val="24"/>
          <w:lang w:val="hr-HR"/>
        </w:rPr>
        <w:t xml:space="preserve">Članak 6. </w:t>
      </w:r>
    </w:p>
    <w:p w14:paraId="47AB1FD0">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Na sve postupke jednostavne nabave koji se provode na temelju ovoga Pravilnika na odgovarajući način primjenjuju se odredbe članaka 75. do 83. Zakona kojima se uređuju sprječavanje, prepoznavanje i uklanjanje sukoba interesa. </w:t>
      </w:r>
    </w:p>
    <w:p w14:paraId="0AF0397F">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Predstavnici naručitelja iz članka 76. stavka 2. Zakona, kao i ovlaštene osobe naručitelja koje sudjeluju u pripremi i provedbi postupka jednostavne nabave, dužni su potpisati izjavu o postojanju ili nepostojanju sukoba interesa s gospodarskim subjektima u smislu članaka 76. i 77. Zakona. </w:t>
      </w:r>
    </w:p>
    <w:p w14:paraId="3CDA62D4">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U slučaju saznanja o postojanju sukoba interesa, predstavnik naručitelja odnosno ovlaštena osoba naručitelja obvezna je odmah, a najkasnije dan nakon saznanja, izuzeti se iz provedbe postupka i o tome obavijestiti čelnika naručitelja, koji postupa sukladno članku 81. Zakona. </w:t>
      </w:r>
    </w:p>
    <w:p w14:paraId="210E2081">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Tajništvo Škole vodi i ažurira popis gospodarskih subjekata s kojima je predstavnik naručitelja u sukobu interesa. </w:t>
      </w:r>
    </w:p>
    <w:p w14:paraId="3601C543">
      <w:pPr>
        <w:widowControl w:val="false"/>
        <w:spacing w:after="0" w:line="240" w:lineRule="auto"/>
        <w:ind w:right="57" w:firstLine="720"/>
        <w:jc w:val="both"/>
        <w:rPr>
          <w:rFonts w:cs="Times New Roman"/>
          <w:sz w:val="24"/>
          <w:szCs w:val="24"/>
          <w:lang w:val="hr-HR"/>
        </w:rPr>
      </w:pPr>
    </w:p>
    <w:p w14:paraId="7CF9715B">
      <w:pPr>
        <w:widowControl w:val="false"/>
        <w:spacing w:after="0" w:line="240" w:lineRule="auto"/>
        <w:ind w:left="2954" w:right="57"/>
        <w:rPr>
          <w:rFonts w:cs="Times New Roman"/>
          <w:sz w:val="24"/>
          <w:szCs w:val="24"/>
          <w:lang w:val="hr-HR"/>
        </w:rPr>
      </w:pPr>
      <w:r>
        <w:rPr>
          <w:rFonts w:eastAsia="Times New Roman" w:cs="Times New Roman"/>
          <w:b/>
          <w:color w:val="000000"/>
          <w:sz w:val="24"/>
          <w:szCs w:val="24"/>
          <w:lang w:val="hr-HR"/>
        </w:rPr>
        <w:t xml:space="preserve">Načela javne nabave i njihova primjena </w:t>
      </w:r>
    </w:p>
    <w:p w14:paraId="087E9DFB">
      <w:pPr>
        <w:widowControl w:val="false"/>
        <w:spacing w:after="0" w:line="240" w:lineRule="auto"/>
        <w:ind w:left="4367" w:right="57"/>
        <w:rPr>
          <w:rFonts w:cs="Times New Roman"/>
          <w:sz w:val="24"/>
          <w:szCs w:val="24"/>
          <w:lang w:val="hr-HR"/>
        </w:rPr>
      </w:pPr>
      <w:r>
        <w:rPr>
          <w:rFonts w:eastAsia="Times New Roman" w:cs="Times New Roman"/>
          <w:b/>
          <w:color w:val="000000"/>
          <w:sz w:val="24"/>
          <w:szCs w:val="24"/>
          <w:lang w:val="hr-HR"/>
        </w:rPr>
        <w:t xml:space="preserve">Članak 7. </w:t>
      </w:r>
    </w:p>
    <w:p w14:paraId="7C7F6BA4">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Naručitelj je u provedbi postupaka jednostavne nabave obvezan poštivati načela javne nabave iz Zakona, a osobito načela tržišnog natjecanja, jednakog tretmana, zabrane diskriminacije, transparentnosti i razmjernosti. </w:t>
      </w:r>
    </w:p>
    <w:p w14:paraId="3F515B07">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Načelo tržišnog natjecanja primjenjuje se na način da naručitelj, kad god je to moguće i razumno s obzirom na predmet nabave, osigurava sudjelovanje većeg broja gospodarskih subjekata, osobito: </w:t>
      </w:r>
    </w:p>
    <w:p w14:paraId="2F1DFD7A">
      <w:pPr>
        <w:pStyle w:val="Odlomakpopisa"/>
        <w:widowControl w:val="false"/>
        <w:numPr>
          <w:ilvl w:val="0"/>
          <w:numId w:val="10"/>
        </w:numPr>
        <w:spacing w:after="0" w:line="240" w:lineRule="auto"/>
        <w:ind w:right="57"/>
        <w:jc w:val="both"/>
        <w:rPr>
          <w:rFonts w:eastAsia="Times New Roman" w:cs="Times New Roman"/>
          <w:color w:val="000000"/>
          <w:sz w:val="24"/>
          <w:szCs w:val="24"/>
          <w:lang w:val="hr-HR"/>
        </w:rPr>
      </w:pPr>
      <w:r>
        <w:rPr>
          <w:rFonts w:eastAsia="Times New Roman" w:cs="Times New Roman"/>
          <w:color w:val="000000"/>
          <w:sz w:val="24"/>
          <w:szCs w:val="24"/>
          <w:lang w:val="hr-HR"/>
        </w:rPr>
        <w:t xml:space="preserve">upućivanjem poziva za dostavu ponuda većem broju gospodarskih subjekata, </w:t>
      </w:r>
    </w:p>
    <w:p w14:paraId="2C91F44F">
      <w:pPr>
        <w:pStyle w:val="Odlomakpopisa"/>
        <w:widowControl w:val="false"/>
        <w:numPr>
          <w:ilvl w:val="0"/>
          <w:numId w:val="10"/>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javnom objavom postupka jednostavne nabave kada je to propisano ovim Pravilnikom, </w:t>
      </w:r>
    </w:p>
    <w:p w14:paraId="76563D02">
      <w:pPr>
        <w:pStyle w:val="Odlomakpopisa"/>
        <w:widowControl w:val="false"/>
        <w:numPr>
          <w:ilvl w:val="0"/>
          <w:numId w:val="10"/>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izbjegavanjem neopravdanih tehničkih specifikacija ili uvjeta koji bi mogli neopravdano ograničiti tržišno natjecanje. </w:t>
      </w:r>
    </w:p>
    <w:p w14:paraId="656F6C69">
      <w:pPr>
        <w:widowControl w:val="false"/>
        <w:spacing w:after="0" w:line="240" w:lineRule="auto"/>
        <w:ind w:left="1" w:right="57" w:firstLine="719"/>
        <w:jc w:val="both"/>
        <w:rPr>
          <w:rFonts w:cs="Times New Roman"/>
          <w:sz w:val="24"/>
          <w:szCs w:val="24"/>
          <w:lang w:val="hr-HR"/>
        </w:rPr>
      </w:pPr>
      <w:r>
        <w:rPr>
          <w:rFonts w:eastAsia="Times New Roman" w:cs="Times New Roman"/>
          <w:color w:val="000000"/>
          <w:sz w:val="24"/>
          <w:szCs w:val="24"/>
          <w:lang w:val="hr-HR"/>
        </w:rPr>
        <w:t xml:space="preserve">Načelo jednakog tretmana i zabrane diskriminacije primjenjuje se na način da naručitelj svim gospodarskim subjektima osigurava jednake uvjete sudjelovanja u postupku jednostavne nabave, osobito: </w:t>
      </w:r>
    </w:p>
    <w:p w14:paraId="7E9EED8E">
      <w:pPr>
        <w:pStyle w:val="Odlomakpopisa"/>
        <w:widowControl w:val="false"/>
        <w:numPr>
          <w:ilvl w:val="0"/>
          <w:numId w:val="11"/>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dostavljanjem istih informacija svim zainteresiranim gospodarskim subjektima, </w:t>
      </w:r>
    </w:p>
    <w:p w14:paraId="320C52A1">
      <w:pPr>
        <w:pStyle w:val="Odlomakpopisa"/>
        <w:widowControl w:val="false"/>
        <w:numPr>
          <w:ilvl w:val="0"/>
          <w:numId w:val="11"/>
        </w:numPr>
        <w:spacing w:after="0" w:line="240" w:lineRule="auto"/>
        <w:ind w:right="57"/>
        <w:jc w:val="both"/>
        <w:rPr>
          <w:rFonts w:eastAsia="Times New Roman" w:cs="Times New Roman"/>
          <w:color w:val="000000"/>
          <w:sz w:val="24"/>
          <w:szCs w:val="24"/>
          <w:lang w:val="hr-HR"/>
        </w:rPr>
      </w:pPr>
      <w:r>
        <w:rPr>
          <w:rFonts w:eastAsia="Times New Roman" w:cs="Times New Roman"/>
          <w:color w:val="000000"/>
          <w:sz w:val="24"/>
          <w:szCs w:val="24"/>
          <w:lang w:val="hr-HR"/>
        </w:rPr>
        <w:t xml:space="preserve">objavom pojašnjenja i dopuna dokumentacije o nabavi na način koji osigurava da su dostupne svim gospodarskim subjektima pod jednakim uvjetima, </w:t>
      </w:r>
    </w:p>
    <w:p w14:paraId="1DCAAFA6">
      <w:pPr>
        <w:pStyle w:val="Odlomakpopisa"/>
        <w:widowControl w:val="false"/>
        <w:numPr>
          <w:ilvl w:val="0"/>
          <w:numId w:val="11"/>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izbjegavanjem tehničkih specifikacija ili uvjeta koji neopravdano pogoduju određenom gospodarskom subjektu. </w:t>
      </w:r>
    </w:p>
    <w:p w14:paraId="03C13FE3">
      <w:pPr>
        <w:widowControl w:val="false"/>
        <w:spacing w:after="0" w:line="240" w:lineRule="auto"/>
        <w:ind w:left="709" w:right="57"/>
        <w:jc w:val="both"/>
        <w:rPr>
          <w:rFonts w:cs="Times New Roman"/>
          <w:sz w:val="24"/>
          <w:szCs w:val="24"/>
          <w:lang w:val="hr-HR"/>
        </w:rPr>
      </w:pPr>
      <w:r>
        <w:rPr>
          <w:rFonts w:eastAsia="Times New Roman" w:cs="Times New Roman"/>
          <w:color w:val="000000"/>
          <w:sz w:val="24"/>
          <w:szCs w:val="24"/>
          <w:lang w:val="hr-HR"/>
        </w:rPr>
        <w:t xml:space="preserve">Načelo transparentnosti primjenjuje se osiguravanjem jasnoće i dostupnosti informacija o postupku jednostavne nabave, osobito kroz: </w:t>
      </w:r>
    </w:p>
    <w:p w14:paraId="27BC8D01">
      <w:pPr>
        <w:pStyle w:val="Odlomakpopisa"/>
        <w:widowControl w:val="false"/>
        <w:numPr>
          <w:ilvl w:val="0"/>
          <w:numId w:val="6"/>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jasno i nedvojbeno definiranje predmeta nabave i uvjeta postupka u pozivu za dostavu ponuda, </w:t>
      </w:r>
    </w:p>
    <w:p w14:paraId="077A3948">
      <w:pPr>
        <w:pStyle w:val="Odlomakpopisa"/>
        <w:widowControl w:val="false"/>
        <w:numPr>
          <w:ilvl w:val="0"/>
          <w:numId w:val="6"/>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pravodobno davanje pojašnjenja ili dopuna dokumentacije o nabavi, </w:t>
      </w:r>
    </w:p>
    <w:p w14:paraId="76F4316E">
      <w:pPr>
        <w:pStyle w:val="Odlomakpopisa"/>
        <w:widowControl w:val="false"/>
        <w:numPr>
          <w:ilvl w:val="0"/>
          <w:numId w:val="6"/>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dokumentiranje svih radnji u postupku jednostavne nabave, </w:t>
      </w:r>
    </w:p>
    <w:p w14:paraId="11194499">
      <w:pPr>
        <w:pStyle w:val="Odlomakpopisa"/>
        <w:widowControl w:val="false"/>
        <w:numPr>
          <w:ilvl w:val="0"/>
          <w:numId w:val="6"/>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javnu objavu postupaka jednostavne nabave kada je to propisano ovim Pravilnikom. </w:t>
      </w:r>
    </w:p>
    <w:p w14:paraId="116949F9">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Ako naručitelj tijekom postupka jednostavne nabave izmijeni ili dopuni uvjete postupka ili dokumentaciju o nabavi na način koji može utjecati na pripremu ponuda, dužan je: </w:t>
      </w:r>
    </w:p>
    <w:p w14:paraId="0F478544">
      <w:pPr>
        <w:pStyle w:val="Odlomakpopisa"/>
        <w:widowControl w:val="false"/>
        <w:numPr>
          <w:ilvl w:val="0"/>
          <w:numId w:val="12"/>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pravodobno obavijestiti sve gospodarske subjekte koji sudjeluju u postupku, </w:t>
      </w:r>
    </w:p>
    <w:p w14:paraId="45D030D5">
      <w:pPr>
        <w:pStyle w:val="Odlomakpopisa"/>
        <w:widowControl w:val="false"/>
        <w:numPr>
          <w:ilvl w:val="0"/>
          <w:numId w:val="12"/>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prema potrebi produljiti rok za dostavu ponuda kako bi gospodarski subjekti imali dovoljno vremena za pripremu ili prilagodbu ponuda. </w:t>
      </w:r>
    </w:p>
    <w:p w14:paraId="5EEE3EE2">
      <w:pPr>
        <w:widowControl w:val="false"/>
        <w:spacing w:after="0" w:line="240" w:lineRule="auto"/>
        <w:ind w:left="1" w:right="57" w:firstLine="719"/>
        <w:jc w:val="both"/>
        <w:rPr>
          <w:rFonts w:cs="Times New Roman"/>
          <w:sz w:val="24"/>
          <w:szCs w:val="24"/>
          <w:lang w:val="hr-HR"/>
        </w:rPr>
      </w:pPr>
      <w:r>
        <w:rPr>
          <w:rFonts w:eastAsia="Times New Roman" w:cs="Times New Roman"/>
          <w:color w:val="000000"/>
          <w:sz w:val="24"/>
          <w:szCs w:val="24"/>
          <w:lang w:val="hr-HR"/>
        </w:rPr>
        <w:t xml:space="preserve">Načelo razmjernosti primjenjuje se na način da uvjeti sposobnosti gospodarskih subjekata, tehničke specifikacije, rokovi i drugi zahtjevi budu razmjerni predmetu nabave, njegovoj procijenjenoj vrijednosti i složenosti, te da ne predstavljaju neopravdanu prepreku tržišnom natjecanju. </w:t>
      </w:r>
    </w:p>
    <w:p w14:paraId="74EF4654">
      <w:pPr>
        <w:widowControl w:val="false"/>
        <w:spacing w:after="0" w:line="240" w:lineRule="auto"/>
        <w:ind w:left="1" w:right="57" w:firstLine="719"/>
        <w:jc w:val="both"/>
        <w:rPr>
          <w:rFonts w:cs="Times New Roman"/>
          <w:sz w:val="24"/>
          <w:szCs w:val="24"/>
          <w:lang w:val="hr-HR"/>
        </w:rPr>
      </w:pPr>
      <w:r>
        <w:rPr>
          <w:rFonts w:eastAsia="Times New Roman" w:cs="Times New Roman"/>
          <w:color w:val="000000"/>
          <w:sz w:val="24"/>
          <w:szCs w:val="24"/>
          <w:lang w:val="hr-HR"/>
        </w:rPr>
        <w:t xml:space="preserve">Naručitelj je obvezan planirati i provoditi nabavu na način kojim se sprječava neopravdano dijeljenje predmeta nabave s ciljem izbjegavanja primjene Zakona ili odredbi ovoga Pravilnika. </w:t>
      </w:r>
    </w:p>
    <w:p w14:paraId="1A6A09BE">
      <w:pPr>
        <w:widowControl w:val="false"/>
        <w:spacing w:after="0" w:line="240" w:lineRule="auto"/>
        <w:ind w:left="1" w:right="57" w:firstLine="719"/>
        <w:jc w:val="both"/>
        <w:rPr>
          <w:rFonts w:cs="Times New Roman"/>
          <w:sz w:val="24"/>
          <w:szCs w:val="24"/>
          <w:lang w:val="hr-HR"/>
        </w:rPr>
      </w:pPr>
      <w:r>
        <w:rPr>
          <w:rFonts w:eastAsia="Times New Roman" w:cs="Times New Roman"/>
          <w:color w:val="000000"/>
          <w:sz w:val="24"/>
          <w:szCs w:val="24"/>
          <w:lang w:val="hr-HR"/>
        </w:rPr>
        <w:t xml:space="preserve">Sve radnje u postupku jednostavne nabave moraju biti primjereno dokumentirane, uključujući osobito: poziv za dostavu ponuda, zaprimljene ponude, pojašnjenja i dopune dokumentacije, zapisnik o pregledu i ocjeni ponuda te odluka o odabiru ili poništenju postupka. </w:t>
      </w:r>
    </w:p>
    <w:p w14:paraId="71046FFF">
      <w:pPr>
        <w:widowControl w:val="false"/>
        <w:spacing w:after="0" w:line="240" w:lineRule="auto"/>
        <w:ind w:left="1" w:right="57" w:firstLine="719"/>
        <w:jc w:val="both"/>
        <w:rPr>
          <w:rFonts w:eastAsia="Times New Roman" w:cs="Times New Roman"/>
          <w:color w:val="000000"/>
          <w:sz w:val="24"/>
          <w:szCs w:val="24"/>
          <w:lang w:val="hr-HR"/>
        </w:rPr>
      </w:pPr>
      <w:r>
        <w:rPr>
          <w:rFonts w:eastAsia="Times New Roman" w:cs="Times New Roman"/>
          <w:color w:val="000000"/>
          <w:sz w:val="24"/>
          <w:szCs w:val="24"/>
          <w:lang w:val="hr-HR"/>
        </w:rPr>
        <w:t xml:space="preserve">Osobe koje sudjeluju u pripremi i provedbi postupaka jednostavne nabave dužne su postupati zakonito, nepristrano i profesionalno te su odgovorne za zakonito, transparentno i učinkovito provođenje postupaka u skladu sa ZJN2016 i ovim Pravilnikom. </w:t>
      </w:r>
    </w:p>
    <w:p w14:paraId="52498FC2">
      <w:pPr>
        <w:widowControl w:val="false"/>
        <w:spacing w:after="0" w:line="240" w:lineRule="auto"/>
        <w:ind w:left="1" w:right="57" w:firstLine="719"/>
        <w:jc w:val="both"/>
        <w:rPr>
          <w:rFonts w:eastAsia="Times New Roman" w:cs="Times New Roman"/>
          <w:color w:val="000000"/>
          <w:sz w:val="24"/>
          <w:szCs w:val="24"/>
          <w:lang w:val="hr-HR"/>
        </w:rPr>
      </w:pPr>
    </w:p>
    <w:p w14:paraId="6B1CE4B5">
      <w:pPr>
        <w:widowControl w:val="false"/>
        <w:spacing w:after="0" w:line="240" w:lineRule="auto"/>
        <w:ind w:left="1" w:right="57"/>
        <w:rPr>
          <w:rFonts w:cs="Times New Roman"/>
          <w:sz w:val="24"/>
          <w:szCs w:val="24"/>
          <w:lang w:val="hr-HR"/>
        </w:rPr>
      </w:pPr>
      <w:r>
        <w:rPr>
          <w:rFonts w:eastAsia="Times New Roman" w:cs="Times New Roman"/>
          <w:b/>
          <w:color w:val="000000"/>
          <w:sz w:val="24"/>
          <w:szCs w:val="24"/>
          <w:lang w:val="hr-HR"/>
        </w:rPr>
        <w:t xml:space="preserve">II. POSTUPCI JEDNOSTAVNE NABAVE </w:t>
      </w:r>
    </w:p>
    <w:p w14:paraId="4E7EEEC9">
      <w:pPr>
        <w:widowControl w:val="false"/>
        <w:spacing w:after="0" w:line="240" w:lineRule="auto"/>
        <w:ind w:left="2757" w:right="57"/>
        <w:rPr>
          <w:rFonts w:cs="Times New Roman"/>
          <w:sz w:val="24"/>
          <w:szCs w:val="24"/>
          <w:lang w:val="hr-HR"/>
        </w:rPr>
      </w:pPr>
      <w:r>
        <w:rPr>
          <w:rFonts w:eastAsia="Times New Roman" w:cs="Times New Roman"/>
          <w:b/>
          <w:color w:val="000000"/>
          <w:sz w:val="24"/>
          <w:szCs w:val="24"/>
          <w:lang w:val="hr-HR"/>
        </w:rPr>
        <w:t xml:space="preserve">Razgraničenje postupaka prema vrijednosti</w:t>
      </w:r>
      <w:r>
        <w:rPr>
          <w:rFonts w:eastAsia="Times New Roman" w:cs="Times New Roman"/>
          <w:color w:val="000000"/>
          <w:sz w:val="24"/>
          <w:szCs w:val="24"/>
          <w:lang w:val="hr-HR"/>
        </w:rPr>
        <w:t xml:space="preserve"> </w:t>
      </w:r>
    </w:p>
    <w:p w14:paraId="769B78BF">
      <w:pPr>
        <w:widowControl w:val="false"/>
        <w:spacing w:after="0" w:line="240" w:lineRule="auto"/>
        <w:ind w:left="4367" w:right="57"/>
        <w:rPr>
          <w:rFonts w:cs="Times New Roman"/>
          <w:sz w:val="24"/>
          <w:szCs w:val="24"/>
          <w:lang w:val="hr-HR"/>
        </w:rPr>
      </w:pPr>
      <w:r>
        <w:rPr>
          <w:rFonts w:eastAsia="Times New Roman" w:cs="Times New Roman"/>
          <w:b/>
          <w:color w:val="000000"/>
          <w:sz w:val="24"/>
          <w:szCs w:val="24"/>
          <w:lang w:val="hr-HR"/>
        </w:rPr>
        <w:t xml:space="preserve">Članak 8.</w:t>
      </w:r>
      <w:r>
        <w:rPr>
          <w:rFonts w:eastAsia="Times New Roman" w:cs="Times New Roman"/>
          <w:color w:val="000000"/>
          <w:sz w:val="24"/>
          <w:szCs w:val="24"/>
          <w:lang w:val="hr-HR"/>
        </w:rPr>
        <w:t xml:space="preserve"> </w:t>
      </w:r>
    </w:p>
    <w:p w14:paraId="45742E86">
      <w:pPr>
        <w:widowControl w:val="false"/>
        <w:spacing w:after="0" w:line="240" w:lineRule="auto"/>
        <w:ind w:left="709" w:right="57" w:firstLine="11"/>
        <w:jc w:val="both"/>
        <w:rPr>
          <w:rFonts w:cs="Times New Roman"/>
          <w:sz w:val="24"/>
          <w:szCs w:val="24"/>
          <w:lang w:val="hr-HR"/>
        </w:rPr>
      </w:pPr>
      <w:r>
        <w:rPr>
          <w:rFonts w:eastAsia="Times New Roman" w:cs="Times New Roman"/>
          <w:color w:val="000000"/>
          <w:sz w:val="24"/>
          <w:szCs w:val="24"/>
          <w:lang w:val="hr-HR"/>
        </w:rPr>
        <w:t xml:space="preserve">Postupci jednostavne nabave i njihova provedba razlikuju se s obzirom na procijenjenu vrijednost jednostavne nabave kako slijedi: </w:t>
      </w:r>
    </w:p>
    <w:p w14:paraId="15299D54">
      <w:pPr>
        <w:pStyle w:val="Odlomakpopisa"/>
        <w:widowControl w:val="false"/>
        <w:numPr>
          <w:ilvl w:val="0"/>
          <w:numId w:val="3"/>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postupci procijenjene vrijednosti manje od 5.000,00 eura,  </w:t>
      </w:r>
    </w:p>
    <w:p w14:paraId="78856067">
      <w:pPr>
        <w:pStyle w:val="Odlomakpopisa"/>
        <w:widowControl w:val="false"/>
        <w:numPr>
          <w:ilvl w:val="0"/>
          <w:numId w:val="3"/>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postupci procijenjene vrijednosti jednake ili veće od 5.000,00 eura, a manje ili jednake 15.000,00 eura,  </w:t>
      </w:r>
    </w:p>
    <w:p w14:paraId="2FD034CC">
      <w:pPr>
        <w:pStyle w:val="Odlomakpopisa"/>
        <w:widowControl w:val="false"/>
        <w:numPr>
          <w:ilvl w:val="0"/>
          <w:numId w:val="3"/>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postupci procijenjene vrijednosti veće od 15.000,00 eura, a manje ili jednake 25.000,00 eura za robe i usluge, odnosno manje ili jednake 45.000,00 eura za radove,  </w:t>
      </w:r>
    </w:p>
    <w:p w14:paraId="618646CE">
      <w:pPr>
        <w:pStyle w:val="Odlomakpopisa"/>
        <w:widowControl w:val="false"/>
        <w:numPr>
          <w:ilvl w:val="0"/>
          <w:numId w:val="3"/>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postupci procijenjene vrijednosti veće od 25.000,00 eura i manje od 50.000,00 eura za robe i usluge, odnosno veće od 45.000,00 eura i manje od 100.000,00 eura za radove.  </w:t>
      </w:r>
    </w:p>
    <w:p w14:paraId="77573EB9">
      <w:pPr>
        <w:pStyle w:val="Odlomakpopisa"/>
        <w:widowControl w:val="false"/>
        <w:numPr>
          <w:ilvl w:val="0"/>
          <w:numId w:val="3"/>
        </w:numPr>
        <w:spacing w:after="0" w:line="240" w:lineRule="auto"/>
        <w:ind w:right="57"/>
        <w:jc w:val="both"/>
        <w:rPr>
          <w:rFonts w:cs="Times New Roman"/>
          <w:sz w:val="24"/>
          <w:szCs w:val="24"/>
          <w:lang w:val="hr-HR"/>
        </w:rPr>
      </w:pPr>
    </w:p>
    <w:p w14:paraId="690E4301">
      <w:pPr>
        <w:spacing w:after="0" w:line="240" w:lineRule="auto"/>
        <w:jc w:val="center"/>
        <w:rPr>
          <w:rFonts w:cs="Times New Roman"/>
          <w:sz w:val="24"/>
          <w:szCs w:val="24"/>
          <w:lang w:val="hr-HR"/>
        </w:rPr>
      </w:pPr>
      <w:r>
        <w:rPr>
          <w:rFonts w:eastAsia="Times New Roman" w:cs="Times New Roman"/>
          <w:b/>
          <w:color w:val="000000"/>
          <w:sz w:val="24"/>
          <w:szCs w:val="24"/>
          <w:lang w:val="hr-HR"/>
        </w:rPr>
        <w:t xml:space="preserve">Postupci procijenjene vrijednosti do 5.000,00 eura</w:t>
      </w:r>
    </w:p>
    <w:p w14:paraId="632D6AAF">
      <w:pPr>
        <w:widowControl w:val="false"/>
        <w:spacing w:after="0" w:line="240" w:lineRule="auto"/>
        <w:ind w:left="4367" w:right="57"/>
        <w:rPr>
          <w:rFonts w:cs="Times New Roman"/>
          <w:sz w:val="24"/>
          <w:szCs w:val="24"/>
          <w:lang w:val="hr-HR"/>
        </w:rPr>
      </w:pPr>
      <w:r>
        <w:rPr>
          <w:rFonts w:eastAsia="Times New Roman" w:cs="Times New Roman"/>
          <w:b/>
          <w:color w:val="000000"/>
          <w:sz w:val="24"/>
          <w:szCs w:val="24"/>
          <w:lang w:val="hr-HR"/>
        </w:rPr>
        <w:t xml:space="preserve">Članak 9.</w:t>
      </w:r>
      <w:r>
        <w:rPr>
          <w:rFonts w:eastAsia="Times New Roman" w:cs="Times New Roman"/>
          <w:color w:val="000000"/>
          <w:sz w:val="24"/>
          <w:szCs w:val="24"/>
          <w:lang w:val="hr-HR"/>
        </w:rPr>
        <w:t xml:space="preserve"> </w:t>
      </w:r>
    </w:p>
    <w:p w14:paraId="606295F0">
      <w:pPr>
        <w:widowControl w:val="false"/>
        <w:spacing w:after="0" w:line="240" w:lineRule="auto"/>
        <w:ind w:left="1" w:right="57" w:firstLine="719"/>
        <w:jc w:val="both"/>
        <w:rPr>
          <w:rFonts w:eastAsia="Times New Roman" w:cs="Times New Roman"/>
          <w:color w:val="000000"/>
          <w:sz w:val="24"/>
          <w:szCs w:val="24"/>
          <w:lang w:val="hr-HR"/>
        </w:rPr>
      </w:pPr>
      <w:r>
        <w:rPr>
          <w:rFonts w:eastAsia="Times New Roman" w:cs="Times New Roman"/>
          <w:color w:val="000000"/>
          <w:sz w:val="24"/>
          <w:szCs w:val="24"/>
          <w:lang w:val="hr-HR"/>
        </w:rPr>
        <w:t xml:space="preserve">Za provedbu postupka jednostavne nabave procijenjene vrijednosti manje od 5.000,00 eura u pravilu je dovoljno pribaviti jednu ponudu temeljem koje će čelnik tijela izdati narudžbenicu ili će se izravno platiti račun, u skladu s procedurama određenim propisima iz područja financija ili po potrebi zaključiti ugovor. </w:t>
      </w:r>
    </w:p>
    <w:p w14:paraId="411EF446">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Tajništvo škole dužno je voditi evidenciju akata iz prethodnog stavka ovoga članka o nabavi radova, roba i usluga procijenjene vrijednosti manje od 5.000,00 eura. </w:t>
      </w:r>
    </w:p>
    <w:p w14:paraId="5B8E0455">
      <w:pPr>
        <w:widowControl w:val="false"/>
        <w:spacing w:after="0" w:line="240" w:lineRule="auto"/>
        <w:ind w:right="57" w:firstLine="720"/>
        <w:jc w:val="both"/>
        <w:rPr>
          <w:rFonts w:cs="Times New Roman"/>
          <w:sz w:val="24"/>
          <w:szCs w:val="24"/>
          <w:lang w:val="hr-HR"/>
        </w:rPr>
      </w:pPr>
    </w:p>
    <w:p w14:paraId="72492816">
      <w:pPr>
        <w:widowControl w:val="false"/>
        <w:spacing w:after="0" w:line="240" w:lineRule="auto"/>
        <w:ind w:left="2104" w:right="57"/>
        <w:rPr>
          <w:rFonts w:cs="Times New Roman"/>
          <w:sz w:val="24"/>
          <w:szCs w:val="24"/>
          <w:lang w:val="hr-HR"/>
        </w:rPr>
      </w:pPr>
      <w:r>
        <w:rPr>
          <w:rFonts w:eastAsia="Times New Roman" w:cs="Times New Roman"/>
          <w:b/>
          <w:color w:val="000000"/>
          <w:sz w:val="24"/>
          <w:szCs w:val="24"/>
          <w:lang w:val="hr-HR"/>
        </w:rPr>
        <w:t xml:space="preserve">Povjerenstvo za provođenje postupka jednostavne nabave </w:t>
      </w:r>
    </w:p>
    <w:p w14:paraId="7B93D3D1">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10.</w:t>
      </w:r>
      <w:r>
        <w:rPr>
          <w:rFonts w:eastAsia="Times New Roman" w:cs="Times New Roman"/>
          <w:color w:val="000000"/>
          <w:sz w:val="24"/>
          <w:szCs w:val="24"/>
          <w:lang w:val="hr-HR"/>
        </w:rPr>
        <w:t xml:space="preserve"> </w:t>
      </w:r>
    </w:p>
    <w:p w14:paraId="7131F4A1">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Pripremu i provedbu postupaka jednostavne nabave iz članka 8. stavka 1. točke 3. i 4. ovog Pravilnika provodi povjerenstvo za provođenje postupka jednostavne nabave Naručitelja (u daljnjem tekstu: Povjerenstvo) za pojedinu nabavu. </w:t>
      </w:r>
    </w:p>
    <w:p w14:paraId="2482C07F">
      <w:pPr>
        <w:widowControl w:val="false"/>
        <w:spacing w:after="0" w:line="240" w:lineRule="auto"/>
        <w:ind w:left="720" w:right="57"/>
        <w:jc w:val="both"/>
        <w:rPr>
          <w:rFonts w:cs="Times New Roman"/>
          <w:sz w:val="24"/>
          <w:szCs w:val="24"/>
          <w:lang w:val="hr-HR"/>
        </w:rPr>
      </w:pPr>
      <w:r>
        <w:rPr>
          <w:rFonts w:eastAsia="Times New Roman" w:cs="Times New Roman"/>
          <w:color w:val="000000"/>
          <w:sz w:val="24"/>
          <w:szCs w:val="24"/>
          <w:lang w:val="hr-HR"/>
        </w:rPr>
        <w:t xml:space="preserve">Prije početka postupka jednostavne nabave čelnik Naručitelja internom odlukom imenuje Povjerenstvo i određuje njihove obveze i ovlasti u postupku jednostavne nabave. </w:t>
      </w:r>
    </w:p>
    <w:p w14:paraId="471F934A">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Čelnik naručitelja donosi odluku o početku postupka jednostavne nabave kojom se inicira, odnosno pokreće postupak jednostavne nabave. </w:t>
      </w:r>
    </w:p>
    <w:p w14:paraId="21625ED8">
      <w:pPr>
        <w:widowControl w:val="false"/>
        <w:spacing w:after="0" w:line="240" w:lineRule="auto"/>
        <w:ind w:right="57" w:firstLine="720"/>
        <w:rPr>
          <w:rFonts w:cs="Times New Roman"/>
          <w:sz w:val="24"/>
          <w:szCs w:val="24"/>
          <w:lang w:val="hr-HR"/>
        </w:rPr>
      </w:pPr>
      <w:r>
        <w:rPr>
          <w:rFonts w:eastAsia="Times New Roman" w:cs="Times New Roman"/>
          <w:color w:val="000000"/>
          <w:sz w:val="24"/>
          <w:szCs w:val="24"/>
          <w:lang w:val="hr-HR"/>
        </w:rPr>
        <w:t xml:space="preserve">Povjerenstvo se sastoji od najmanje tri člana, od kojih najmanje jedan mora posjedovati važeći certifikat u području javne nabave. </w:t>
      </w:r>
    </w:p>
    <w:p w14:paraId="55DD3998">
      <w:pPr>
        <w:widowControl w:val="false"/>
        <w:spacing w:after="0" w:line="240" w:lineRule="auto"/>
        <w:ind w:right="57" w:firstLine="720"/>
        <w:rPr>
          <w:rFonts w:cs="Times New Roman"/>
          <w:sz w:val="24"/>
          <w:szCs w:val="24"/>
          <w:lang w:val="hr-HR"/>
        </w:rPr>
      </w:pPr>
      <w:r>
        <w:rPr>
          <w:rFonts w:eastAsia="Times New Roman" w:cs="Times New Roman"/>
          <w:color w:val="000000"/>
          <w:sz w:val="24"/>
          <w:szCs w:val="24"/>
          <w:lang w:val="hr-HR"/>
        </w:rPr>
        <w:t xml:space="preserve">Članovi povjerenstva ne moraju biti zaposlenici Naručitelja. </w:t>
      </w:r>
    </w:p>
    <w:p w14:paraId="22F74DBE">
      <w:pPr>
        <w:widowControl w:val="false"/>
        <w:spacing w:after="0" w:line="240" w:lineRule="auto"/>
        <w:ind w:left="1" w:right="57" w:firstLine="359"/>
        <w:rPr>
          <w:rFonts w:cs="Times New Roman"/>
          <w:sz w:val="24"/>
          <w:szCs w:val="24"/>
          <w:lang w:val="hr-HR"/>
        </w:rPr>
      </w:pPr>
      <w:r>
        <w:rPr>
          <w:rFonts w:eastAsia="Times New Roman" w:cs="Times New Roman"/>
          <w:color w:val="000000"/>
          <w:sz w:val="24"/>
          <w:szCs w:val="24"/>
          <w:lang w:val="hr-HR"/>
        </w:rPr>
        <w:t xml:space="preserve">Obveze i ovlasti Stručnog povjerenstva su: </w:t>
      </w:r>
    </w:p>
    <w:p w14:paraId="046E3D7B">
      <w:pPr>
        <w:pStyle w:val="Odlomakpopisa"/>
        <w:widowControl w:val="false"/>
        <w:numPr>
          <w:ilvl w:val="0"/>
          <w:numId w:val="7"/>
        </w:numPr>
        <w:spacing w:after="0" w:line="240" w:lineRule="auto"/>
        <w:ind w:right="57"/>
        <w:rPr>
          <w:rFonts w:cs="Times New Roman"/>
          <w:sz w:val="24"/>
          <w:szCs w:val="24"/>
          <w:lang w:val="hr-HR"/>
        </w:rPr>
      </w:pPr>
      <w:r>
        <w:rPr>
          <w:rFonts w:eastAsia="Times New Roman" w:cs="Times New Roman"/>
          <w:color w:val="000000"/>
          <w:sz w:val="24"/>
          <w:szCs w:val="24"/>
          <w:lang w:val="hr-HR"/>
        </w:rPr>
        <w:t xml:space="preserve">priprema postupka: dogovor oko uvjeta vezanih uz predmet nabave, potrebnog sadržaja dokumentacije/ uputa za prikupljanje ponuda, tehničkih specifikacija, ponudbenih troškovnika i ostalih dokumenata vezanih uz predmet nabave, </w:t>
      </w:r>
    </w:p>
    <w:p w14:paraId="143947CA">
      <w:pPr>
        <w:pStyle w:val="Odlomakpopisa"/>
        <w:widowControl w:val="false"/>
        <w:numPr>
          <w:ilvl w:val="0"/>
          <w:numId w:val="7"/>
        </w:numPr>
        <w:spacing w:after="0" w:line="240" w:lineRule="auto"/>
        <w:ind w:right="57"/>
        <w:rPr>
          <w:rFonts w:cs="Times New Roman"/>
          <w:sz w:val="24"/>
          <w:szCs w:val="24"/>
          <w:lang w:val="hr-HR"/>
        </w:rPr>
      </w:pPr>
      <w:r>
        <w:rPr>
          <w:rFonts w:eastAsia="Times New Roman" w:cs="Times New Roman"/>
          <w:color w:val="000000"/>
          <w:sz w:val="24"/>
          <w:szCs w:val="24"/>
          <w:lang w:val="hr-HR"/>
        </w:rPr>
        <w:t xml:space="preserve">provedba postupka: slanje poziva na dostavu ponuda gospodarskim subjektima na dokaziv način, otvaranje pristiglih ponuda, sastavljanje zapisnika o otvaranju, pregledu i ocjeni ponuda, rangiranje ponuda sukladno kriteriju za odabir ponuda, prijedlog za odabir najpovoljnije ponude sukladno kriteriju za odabir i uvjetima propisanim dokumentacijom/ uputama za prikupljanje ponuda ili prijedlog za poništenje postupka. </w:t>
      </w:r>
    </w:p>
    <w:p w14:paraId="7483DB62">
      <w:pPr>
        <w:pStyle w:val="Odlomakpopisa"/>
        <w:widowControl w:val="false"/>
        <w:spacing w:after="0" w:line="240" w:lineRule="auto"/>
        <w:ind w:right="57"/>
        <w:rPr>
          <w:rFonts w:cs="Times New Roman"/>
          <w:sz w:val="24"/>
          <w:szCs w:val="24"/>
          <w:lang w:val="hr-HR"/>
        </w:rPr>
      </w:pPr>
    </w:p>
    <w:p w14:paraId="018437FD">
      <w:pPr>
        <w:widowControl w:val="false"/>
        <w:spacing w:after="0" w:line="240" w:lineRule="auto"/>
        <w:ind w:left="1859" w:right="57"/>
        <w:rPr>
          <w:rFonts w:cs="Times New Roman"/>
          <w:sz w:val="24"/>
          <w:szCs w:val="24"/>
          <w:lang w:val="hr-HR"/>
        </w:rPr>
      </w:pPr>
      <w:r>
        <w:rPr>
          <w:rFonts w:eastAsia="Times New Roman" w:cs="Times New Roman"/>
          <w:b/>
          <w:color w:val="000000"/>
          <w:sz w:val="24"/>
          <w:szCs w:val="24"/>
          <w:lang w:val="hr-HR"/>
        </w:rPr>
        <w:t xml:space="preserve">Postupci procijenjene vrijednosti od 5.000,00 do 15.000,00 eura </w:t>
      </w:r>
    </w:p>
    <w:p w14:paraId="4864A247">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11.</w:t>
      </w:r>
      <w:r>
        <w:rPr>
          <w:rFonts w:eastAsia="Times New Roman" w:cs="Times New Roman"/>
          <w:color w:val="000000"/>
          <w:sz w:val="24"/>
          <w:szCs w:val="24"/>
          <w:lang w:val="hr-HR"/>
        </w:rPr>
        <w:t xml:space="preserve"> </w:t>
      </w:r>
    </w:p>
    <w:p w14:paraId="57B24E91">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Provedba postupka procijenjene vrijednosti jednake ili veće od 5.000,00 eura, a manje ili jednake 15.000,00 eura, Naručitelj provodi izdavanjem narudžbenice ili zaključivanjem ugovora nakon pribavljene najmanje jedne ponude ili slanjem zahtjeva za dostavu ponuda najmanje tri (3) gospodarska subjekta po vlastitom izboru, a sukladno potrebama Naručitelja i ovisno o složenosti predmeta nabave. </w:t>
      </w:r>
    </w:p>
    <w:p w14:paraId="6E7CEEA2">
      <w:pPr>
        <w:widowControl w:val="false"/>
        <w:spacing w:after="0" w:line="240" w:lineRule="auto"/>
        <w:ind w:left="1" w:right="57" w:firstLine="719"/>
        <w:jc w:val="both"/>
        <w:rPr>
          <w:rFonts w:cs="Times New Roman"/>
          <w:sz w:val="24"/>
          <w:szCs w:val="24"/>
          <w:lang w:val="hr-HR"/>
        </w:rPr>
      </w:pPr>
      <w:r>
        <w:rPr>
          <w:rFonts w:eastAsia="Times New Roman" w:cs="Times New Roman"/>
          <w:color w:val="000000"/>
          <w:sz w:val="24"/>
          <w:szCs w:val="24"/>
          <w:lang w:val="hr-HR"/>
        </w:rPr>
        <w:t xml:space="preserve">Narudžbenicu potpisuje čelnik Naručitelja i ona sadrži sve bitne elemente ugovora (podatke o Naručitelju i gospodarskom subjektu, vrsta nabave – roba, radovi, usluge, jedinica mjere, količine, jedinične cijene, ukupna cijena, mjesto i rok isporuke, odnosno izvođenja radova, način i rok plaćanja i sl.). </w:t>
      </w:r>
    </w:p>
    <w:p w14:paraId="49DBB483">
      <w:pPr>
        <w:widowControl w:val="false"/>
        <w:spacing w:after="0" w:line="240" w:lineRule="auto"/>
        <w:ind w:left="1" w:right="57" w:firstLine="719"/>
        <w:jc w:val="both"/>
        <w:rPr>
          <w:rFonts w:eastAsia="Times New Roman" w:cs="Times New Roman"/>
          <w:color w:val="000000"/>
          <w:sz w:val="24"/>
          <w:szCs w:val="24"/>
          <w:lang w:val="hr-HR"/>
        </w:rPr>
      </w:pPr>
      <w:r>
        <w:rPr>
          <w:rFonts w:eastAsia="Times New Roman" w:cs="Times New Roman"/>
          <w:color w:val="000000"/>
          <w:sz w:val="24"/>
          <w:szCs w:val="24"/>
          <w:lang w:val="hr-HR"/>
        </w:rPr>
        <w:t xml:space="preserve">U smislu stavka 2. ovog članka, a nakon ispunjenja obveze, gospodarski subjekt – ponuditelj, dostavlja Naručitelju račun ili drugi odgovarajući zahtjev za isplatu. </w:t>
      </w:r>
    </w:p>
    <w:p w14:paraId="0CA8E294">
      <w:pPr>
        <w:widowControl w:val="false"/>
        <w:spacing w:after="0" w:line="240" w:lineRule="auto"/>
        <w:ind w:left="1" w:right="57" w:firstLine="719"/>
        <w:jc w:val="both"/>
        <w:rPr>
          <w:rFonts w:cs="Times New Roman"/>
          <w:sz w:val="24"/>
          <w:szCs w:val="24"/>
          <w:lang w:val="hr-HR"/>
        </w:rPr>
      </w:pPr>
    </w:p>
    <w:p w14:paraId="46090B33">
      <w:pPr>
        <w:widowControl w:val="false"/>
        <w:spacing w:after="0" w:line="240" w:lineRule="auto"/>
        <w:ind w:left="2188" w:right="57"/>
        <w:rPr>
          <w:rFonts w:cs="Times New Roman"/>
          <w:sz w:val="24"/>
          <w:szCs w:val="24"/>
          <w:lang w:val="hr-HR"/>
        </w:rPr>
      </w:pPr>
      <w:r>
        <w:rPr>
          <w:rFonts w:eastAsia="Times New Roman" w:cs="Times New Roman"/>
          <w:b/>
          <w:color w:val="000000"/>
          <w:sz w:val="24"/>
          <w:szCs w:val="24"/>
          <w:lang w:val="hr-HR"/>
        </w:rPr>
        <w:t xml:space="preserve">Postupci procijenjene vrijednosti veće od 15.000,00 eura </w:t>
      </w:r>
    </w:p>
    <w:p w14:paraId="63FF8FA6">
      <w:pPr>
        <w:widowControl w:val="false"/>
        <w:spacing w:after="0" w:line="240" w:lineRule="auto"/>
        <w:ind w:left="4312" w:right="57"/>
        <w:rPr>
          <w:rFonts w:eastAsia="Times New Roman" w:cs="Times New Roman"/>
          <w:b/>
          <w:color w:val="000000"/>
          <w:sz w:val="24"/>
          <w:szCs w:val="24"/>
          <w:lang w:val="hr-HR"/>
        </w:rPr>
      </w:pPr>
      <w:r>
        <w:rPr>
          <w:rFonts w:eastAsia="Times New Roman" w:cs="Times New Roman"/>
          <w:b/>
          <w:color w:val="000000"/>
          <w:sz w:val="24"/>
          <w:szCs w:val="24"/>
          <w:lang w:val="hr-HR"/>
        </w:rPr>
        <w:t xml:space="preserve">Članak 12.</w:t>
      </w:r>
      <w:r>
        <w:rPr>
          <w:rFonts w:eastAsia="Times New Roman" w:cs="Times New Roman"/>
          <w:color w:val="000000"/>
          <w:sz w:val="24"/>
          <w:szCs w:val="24"/>
          <w:lang w:val="hr-HR"/>
        </w:rPr>
        <w:t xml:space="preserve"> </w:t>
      </w:r>
    </w:p>
    <w:p w14:paraId="5E36B143">
      <w:pPr>
        <w:spacing w:after="0" w:line="240" w:lineRule="auto"/>
        <w:ind w:firstLine="720"/>
        <w:jc w:val="both"/>
        <w:rPr>
          <w:rFonts w:cs="Times New Roman"/>
          <w:sz w:val="24"/>
          <w:szCs w:val="24"/>
          <w:lang w:val="hr-HR"/>
        </w:rPr>
      </w:pPr>
      <w:r>
        <w:rPr>
          <w:rFonts w:eastAsia="Times New Roman" w:cs="Times New Roman"/>
          <w:color w:val="000000"/>
          <w:sz w:val="24"/>
          <w:szCs w:val="24"/>
          <w:lang w:val="hr-HR"/>
        </w:rPr>
        <w:t xml:space="preserve">Postupak jednostavne nabave čija je procijenjena vrijednost veća od 15.000,00 eura Naručitelj je obvezan provesti putem modula jednostavne nabave u EOJN RH. </w:t>
      </w:r>
    </w:p>
    <w:p w14:paraId="733B4EFF">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U postupcima jednostavne nabave čija je procijenjena vrijednost veća od 15.000,00 eura, a manja ili jednaka 25.000,00 eura za robe i usluge, odnosno manja ili jednaka 45.000,00 eura za radove, Povjerenstvo za provedbu postupka jednostavne nabave upućuje poziv za dostavu ponuda upućuje trima ili više gospodarskih subjekata, za koje postoje saznanja da obavljaju djelatnost vezanu za predmet nabave, putem modula jednostavne nabave u EOJN </w:t>
      </w:r>
      <w:r>
        <w:rPr>
          <w:rFonts w:eastAsia="Times New Roman" w:cs="Times New Roman"/>
          <w:color w:val="000000"/>
          <w:sz w:val="24"/>
          <w:szCs w:val="24"/>
          <w:lang w:val="hr-HR"/>
        </w:rPr>
        <w:t xml:space="preserve">RH, bez obveze javne objave. Naručitelj uvijek može odlučiti provesti postupak putem javne objave poziva u modulu jednostavne nabave u EOJN RH. </w:t>
      </w:r>
    </w:p>
    <w:p w14:paraId="45528FE9">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Za nabavu robe i usluga čija je procijenjena vrijednost veća od 25.000,00 eura te za nabavu radova čija je procijenjena vrijednost veća od 45.000,00 eura, Povjerenstvo za provedbu postupka jednostavne nabave je obvezno sukladno Zakonu provesti postupak jednostavne nabave putem javne objave u modulu jednostavne nabave EOJN RH. </w:t>
      </w:r>
    </w:p>
    <w:p w14:paraId="0B67C07A">
      <w:pPr>
        <w:widowControl w:val="false"/>
        <w:spacing w:after="0" w:line="240" w:lineRule="auto"/>
        <w:ind w:right="57" w:firstLine="360"/>
        <w:jc w:val="both"/>
        <w:rPr>
          <w:rFonts w:cs="Times New Roman"/>
          <w:sz w:val="24"/>
          <w:szCs w:val="24"/>
          <w:lang w:val="hr-HR"/>
        </w:rPr>
      </w:pPr>
      <w:r>
        <w:rPr>
          <w:rFonts w:eastAsia="Times New Roman" w:cs="Times New Roman"/>
          <w:color w:val="000000"/>
          <w:sz w:val="24"/>
          <w:szCs w:val="24"/>
          <w:lang w:val="hr-HR"/>
        </w:rPr>
        <w:t xml:space="preserve">Iznimno od stavka 3. ovoga članka, Povjerenstvo za provedbu postupka jednostavne nabave nije obvezno provesti postupak jednostavne nabave putem javne objave u modulu jednostavne nabave, već poziv za dostavu ponuda upućuje sukladno stavku 2. ovoga članka: </w:t>
      </w:r>
    </w:p>
    <w:p w14:paraId="264FD234">
      <w:pPr>
        <w:pStyle w:val="Odlomakpopisa"/>
        <w:widowControl w:val="false"/>
        <w:numPr>
          <w:ilvl w:val="0"/>
          <w:numId w:val="1"/>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ako nije podnesena nijedna ponuda ili nijedna valjana ponuda u prethodno provedenom postupku jednostavne nabave, pod uvjetom da početni ugovorni uvjeti nisu bitno izmijenjeni, </w:t>
      </w:r>
    </w:p>
    <w:p w14:paraId="5F3FCC1C">
      <w:pPr>
        <w:pStyle w:val="Odlomakpopisa"/>
        <w:widowControl w:val="false"/>
        <w:numPr>
          <w:ilvl w:val="0"/>
          <w:numId w:val="1"/>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ako zbog objektivnih razloga predmet nabave može izvršiti, isporučiti ili pružiti samo određeni gospodarski subjekt, i to: </w:t>
      </w:r>
    </w:p>
    <w:p w14:paraId="2D86495B">
      <w:pPr>
        <w:pStyle w:val="Odlomakpopisa"/>
        <w:widowControl w:val="false"/>
        <w:numPr>
          <w:ilvl w:val="2"/>
          <w:numId w:val="1"/>
        </w:numPr>
        <w:spacing w:after="0" w:line="240" w:lineRule="auto"/>
        <w:ind w:left="1418" w:right="57"/>
        <w:jc w:val="both"/>
        <w:rPr>
          <w:rFonts w:cs="Times New Roman"/>
          <w:sz w:val="24"/>
          <w:szCs w:val="24"/>
          <w:lang w:val="hr-HR"/>
        </w:rPr>
      </w:pPr>
      <w:r>
        <w:rPr>
          <w:rFonts w:eastAsia="Times New Roman" w:cs="Times New Roman"/>
          <w:color w:val="000000"/>
          <w:sz w:val="24"/>
          <w:szCs w:val="24"/>
          <w:lang w:val="hr-HR"/>
        </w:rPr>
        <w:t xml:space="preserve">ako je predmet nabave stvaranje ili stjecanje jedinstvenog umjetničkog djela ili umjetničke izvedbe, </w:t>
      </w:r>
    </w:p>
    <w:p w14:paraId="13B8F337">
      <w:pPr>
        <w:pStyle w:val="Odlomakpopisa"/>
        <w:widowControl w:val="false"/>
        <w:numPr>
          <w:ilvl w:val="2"/>
          <w:numId w:val="1"/>
        </w:numPr>
        <w:spacing w:after="0" w:line="240" w:lineRule="auto"/>
        <w:ind w:left="1418" w:right="57"/>
        <w:jc w:val="both"/>
        <w:rPr>
          <w:rFonts w:cs="Times New Roman"/>
          <w:sz w:val="24"/>
          <w:szCs w:val="24"/>
          <w:lang w:val="hr-HR"/>
        </w:rPr>
      </w:pPr>
      <w:r>
        <w:rPr>
          <w:rFonts w:eastAsia="Times New Roman" w:cs="Times New Roman"/>
          <w:color w:val="000000"/>
          <w:sz w:val="24"/>
          <w:szCs w:val="24"/>
          <w:lang w:val="hr-HR"/>
        </w:rPr>
        <w:t xml:space="preserve">ako iz tehničkih razloga predmet nabave može isporučiti samo određeni gospodarski subjekt, ili </w:t>
      </w:r>
    </w:p>
    <w:p w14:paraId="39573F93">
      <w:pPr>
        <w:pStyle w:val="Odlomakpopisa"/>
        <w:widowControl w:val="false"/>
        <w:numPr>
          <w:ilvl w:val="2"/>
          <w:numId w:val="1"/>
        </w:numPr>
        <w:spacing w:after="0" w:line="240" w:lineRule="auto"/>
        <w:ind w:left="1418" w:right="57"/>
        <w:jc w:val="both"/>
        <w:rPr>
          <w:rFonts w:cs="Times New Roman"/>
          <w:sz w:val="24"/>
          <w:szCs w:val="24"/>
          <w:lang w:val="hr-HR"/>
        </w:rPr>
      </w:pPr>
      <w:r>
        <w:rPr>
          <w:rFonts w:eastAsia="Times New Roman" w:cs="Times New Roman"/>
          <w:color w:val="000000"/>
          <w:sz w:val="24"/>
          <w:szCs w:val="24"/>
          <w:lang w:val="hr-HR"/>
        </w:rPr>
        <w:t xml:space="preserve">ako je to nužno radi zaštite isključivih prava, uključujući prava intelektualnog vlasništva, </w:t>
      </w:r>
    </w:p>
    <w:p w14:paraId="632EC5E3">
      <w:pPr>
        <w:pStyle w:val="Odlomakpopisa"/>
        <w:widowControl w:val="false"/>
        <w:numPr>
          <w:ilvl w:val="0"/>
          <w:numId w:val="1"/>
        </w:numPr>
        <w:spacing w:after="0" w:line="240" w:lineRule="auto"/>
        <w:ind w:right="57"/>
        <w:jc w:val="both"/>
        <w:rPr>
          <w:rFonts w:eastAsia="Times New Roman" w:cs="Times New Roman"/>
          <w:color w:val="000000"/>
          <w:sz w:val="24"/>
          <w:szCs w:val="24"/>
          <w:lang w:val="hr-HR"/>
        </w:rPr>
      </w:pPr>
      <w:r>
        <w:rPr>
          <w:rFonts w:eastAsia="Times New Roman" w:cs="Times New Roman"/>
          <w:color w:val="000000"/>
          <w:sz w:val="24"/>
          <w:szCs w:val="24"/>
          <w:lang w:val="hr-HR"/>
        </w:rPr>
        <w:t xml:space="preserve">ako postoji iznimna žurnost uzrokovana događajima koje naručitelj nije mogao predvidjeti niti na njih utjecati. </w:t>
      </w:r>
    </w:p>
    <w:p w14:paraId="146A8D5A">
      <w:pPr>
        <w:widowControl w:val="false"/>
        <w:spacing w:after="0" w:line="240" w:lineRule="auto"/>
        <w:ind w:left="361" w:right="57"/>
        <w:jc w:val="both"/>
        <w:rPr>
          <w:rFonts w:eastAsia="Times New Roman" w:cs="Times New Roman"/>
          <w:color w:val="000000"/>
          <w:sz w:val="24"/>
          <w:szCs w:val="24"/>
          <w:lang w:val="hr-HR"/>
        </w:rPr>
      </w:pPr>
      <w:r>
        <w:rPr>
          <w:rFonts w:eastAsia="Times New Roman" w:cs="Times New Roman"/>
          <w:color w:val="000000"/>
          <w:sz w:val="24"/>
          <w:szCs w:val="24"/>
          <w:lang w:val="hr-HR"/>
        </w:rPr>
        <w:t xml:space="preserve">Razlozi za primjenu iznimke iz stavka 4. ovoga članka navode se i obrazlažu u objavi u modulu jednostavne nabave EOJN RH. </w:t>
      </w:r>
    </w:p>
    <w:p w14:paraId="56BD8126">
      <w:pPr>
        <w:widowControl w:val="false"/>
        <w:spacing w:after="0" w:line="240" w:lineRule="auto"/>
        <w:ind w:left="361" w:right="57"/>
        <w:jc w:val="both"/>
        <w:rPr>
          <w:rFonts w:eastAsia="Times New Roman" w:cs="Times New Roman"/>
          <w:color w:val="000000"/>
          <w:sz w:val="24"/>
          <w:szCs w:val="24"/>
          <w:lang w:val="hr-HR"/>
        </w:rPr>
      </w:pPr>
    </w:p>
    <w:p w14:paraId="3F106546">
      <w:pPr>
        <w:widowControl w:val="false"/>
        <w:spacing w:after="0" w:line="240" w:lineRule="auto"/>
        <w:ind w:left="2951" w:right="57"/>
        <w:rPr>
          <w:rFonts w:cs="Times New Roman"/>
          <w:sz w:val="24"/>
          <w:szCs w:val="24"/>
          <w:lang w:val="hr-HR"/>
        </w:rPr>
      </w:pPr>
      <w:r>
        <w:rPr>
          <w:rFonts w:eastAsia="Times New Roman" w:cs="Times New Roman"/>
          <w:b/>
          <w:color w:val="000000"/>
          <w:sz w:val="24"/>
          <w:szCs w:val="24"/>
          <w:lang w:val="hr-HR"/>
        </w:rPr>
        <w:t xml:space="preserve">Provedba postupka jednostavne nabave </w:t>
      </w:r>
    </w:p>
    <w:p w14:paraId="7309F96E">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13. </w:t>
      </w:r>
    </w:p>
    <w:p w14:paraId="60B2EA58">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Pripremu odluke o odabiru za postupke jednostavne nabave iz  članka 8. stavka 1. točke 3. i 4. ovog Pravilnika pripremaju i provode najmanje dva člana za provođenje postupka jednostavne nabave. </w:t>
      </w:r>
    </w:p>
    <w:p w14:paraId="4AD515B3">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Cijeli tijek postupka jednostavne nabave mora biti odgovarajuće dokumentiran. </w:t>
      </w:r>
    </w:p>
    <w:p w14:paraId="6BAE44CC">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O zaprimanju, otvaranju te o pregledu i ocjeni ponuda sastavlja se zapisnik. </w:t>
      </w:r>
    </w:p>
    <w:p w14:paraId="17923EF9">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U postupcima jednostavne nabave ne provodi se javno otvaranje ponuda. </w:t>
      </w:r>
    </w:p>
    <w:p w14:paraId="6086897B">
      <w:pPr>
        <w:widowControl w:val="false"/>
        <w:spacing w:after="0" w:line="240" w:lineRule="auto"/>
        <w:ind w:right="57" w:firstLine="720"/>
        <w:jc w:val="both"/>
        <w:rPr>
          <w:rFonts w:cs="Times New Roman"/>
          <w:sz w:val="24"/>
          <w:szCs w:val="24"/>
          <w:lang w:val="hr-HR"/>
        </w:rPr>
      </w:pPr>
    </w:p>
    <w:p w14:paraId="24552846">
      <w:pPr>
        <w:widowControl w:val="false"/>
        <w:spacing w:after="0" w:line="240" w:lineRule="auto"/>
        <w:ind w:left="3213" w:right="57"/>
        <w:rPr>
          <w:rFonts w:cs="Times New Roman"/>
          <w:sz w:val="24"/>
          <w:szCs w:val="24"/>
          <w:lang w:val="hr-HR"/>
        </w:rPr>
      </w:pPr>
      <w:r>
        <w:rPr>
          <w:rFonts w:eastAsia="Times New Roman" w:cs="Times New Roman"/>
          <w:b/>
          <w:color w:val="000000"/>
          <w:sz w:val="24"/>
          <w:szCs w:val="24"/>
          <w:lang w:val="hr-HR"/>
        </w:rPr>
        <w:t xml:space="preserve">Sadržaj poziva za dostavu ponuda</w:t>
      </w:r>
      <w:r>
        <w:rPr>
          <w:rFonts w:eastAsia="Times New Roman" w:cs="Times New Roman"/>
          <w:color w:val="000000"/>
          <w:sz w:val="24"/>
          <w:szCs w:val="24"/>
          <w:lang w:val="hr-HR"/>
        </w:rPr>
        <w:t xml:space="preserve"> </w:t>
      </w:r>
    </w:p>
    <w:p w14:paraId="71F6D12E">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14.</w:t>
      </w:r>
      <w:r>
        <w:rPr>
          <w:rFonts w:eastAsia="Times New Roman" w:cs="Times New Roman"/>
          <w:color w:val="000000"/>
          <w:sz w:val="24"/>
          <w:szCs w:val="24"/>
          <w:lang w:val="hr-HR"/>
        </w:rPr>
        <w:t xml:space="preserve"> </w:t>
      </w:r>
    </w:p>
    <w:p w14:paraId="24C3C40E">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Postupak jednostavne nabave iz članka 8. stavka 1. točke 3. i 4. ovog Pravilnika započinje danom slanja poziva za dostavu ponuda, odnosno danom objave u modulu jednostavne nabave EOJN RH. </w:t>
      </w:r>
      <w:r>
        <w:rPr>
          <w:rFonts w:eastAsia="Times New Roman" w:cs="Times New Roman"/>
          <w:color w:val="FF0000"/>
          <w:sz w:val="24"/>
          <w:szCs w:val="24"/>
          <w:lang w:val="hr-HR"/>
        </w:rPr>
        <w:t xml:space="preserve"> </w:t>
      </w:r>
    </w:p>
    <w:p w14:paraId="054507C2">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Poziv za dostavu ponuda mora biti jasan, razumljiv i nedvojben te izrađen na način da sadrži sve potrebne podatke koji ponuditelju omogućavaju izradu i dostavu ponude. </w:t>
      </w:r>
    </w:p>
    <w:p w14:paraId="44475992">
      <w:pPr>
        <w:spacing w:after="0" w:line="240" w:lineRule="auto"/>
        <w:ind w:firstLine="720"/>
        <w:jc w:val="both"/>
        <w:rPr>
          <w:rFonts w:cs="Times New Roman"/>
          <w:sz w:val="24"/>
          <w:szCs w:val="24"/>
          <w:lang w:val="hr-HR"/>
        </w:rPr>
      </w:pPr>
      <w:r>
        <w:rPr>
          <w:rFonts w:eastAsia="Times New Roman" w:cs="Times New Roman"/>
          <w:color w:val="000000"/>
          <w:sz w:val="24"/>
          <w:szCs w:val="24"/>
          <w:lang w:val="hr-HR"/>
        </w:rPr>
        <w:t xml:space="preserve">Povjerenstvo će, u pravilu, svim pozvanim gospodarskim subjektima uz Poziv na dostavu ponuda dostaviti obrazac ponudbenog lista i troškovnika. </w:t>
      </w:r>
    </w:p>
    <w:p w14:paraId="00440372">
      <w:pPr>
        <w:widowControl w:val="false"/>
        <w:spacing w:after="0" w:line="240" w:lineRule="auto"/>
        <w:ind w:left="1" w:right="57" w:firstLine="719"/>
        <w:jc w:val="both"/>
        <w:rPr>
          <w:rFonts w:cs="Times New Roman"/>
          <w:sz w:val="24"/>
          <w:szCs w:val="24"/>
          <w:lang w:val="hr-HR"/>
        </w:rPr>
      </w:pPr>
      <w:r>
        <w:rPr>
          <w:rFonts w:eastAsia="Times New Roman" w:cs="Times New Roman"/>
          <w:color w:val="000000"/>
          <w:sz w:val="24"/>
          <w:szCs w:val="24"/>
          <w:lang w:val="hr-HR"/>
        </w:rPr>
        <w:t xml:space="preserve">Ovisno o složenosti predmeta nabave, Poziv za dostavu ponuda može sadržavati dokumentaciju o nabavi, zahtjeve i uvjete vezane za predmet nabave, kao i odgovarajuću primjenu odredaba Zakona, a u odnosu na kriterije koji će se primjenjivati za kvalitativni odabir gospodarskog subjekta (osnove za isključenje ponuditelja i navod o dokumentima kojima se dokazuje nepostojanje istih, minimalne uvjete profesionalne, ekonomske i financijske, tehničke i stručne sposobnosti gospodarskih subjekata te navod o dokumentima kojima se dokazuje tražena sposobnost), kriterije za odabir ponude (omjer cijene i ostalih kriterija te </w:t>
      </w:r>
      <w:r>
        <w:rPr>
          <w:rFonts w:eastAsia="Times New Roman" w:cs="Times New Roman"/>
          <w:color w:val="000000"/>
          <w:sz w:val="24"/>
          <w:szCs w:val="24"/>
          <w:lang w:val="hr-HR"/>
        </w:rPr>
        <w:t xml:space="preserve">način dokazivanja tih kriterija), bitne i posebne uvjete za izvršenje ugovora, uvjete i zahtjeve koji moraju biti ispunjeni sukladno posebnim propisima ili stručnim pravilima, vrste jamstva, sredstva i uvjete jamstva, prijedlog ugovora o jednostavnoj nabavi te druge potrebne podatke, dokumente i informacije koje je gospodarski subjekt dužan dostaviti u ponudi (fotografije, prospekti, izjave, potvrde, dozvole i slično). </w:t>
      </w:r>
    </w:p>
    <w:p w14:paraId="4C44D1E1">
      <w:pPr>
        <w:widowControl w:val="false"/>
        <w:spacing w:after="0" w:line="240" w:lineRule="auto"/>
        <w:ind w:left="1" w:right="57" w:firstLine="719"/>
        <w:jc w:val="both"/>
        <w:rPr>
          <w:rFonts w:cs="Times New Roman"/>
          <w:sz w:val="24"/>
          <w:szCs w:val="24"/>
          <w:lang w:val="hr-HR"/>
        </w:rPr>
      </w:pPr>
      <w:r>
        <w:rPr>
          <w:rFonts w:eastAsia="Times New Roman" w:cs="Times New Roman"/>
          <w:color w:val="000000"/>
          <w:sz w:val="24"/>
          <w:szCs w:val="24"/>
          <w:lang w:val="hr-HR"/>
        </w:rPr>
        <w:t xml:space="preserve">Prilikom određivanja kriterija za odabir ponude u pozivu za dostavu ponuda, cijena uvijek mora biti jedan od kriterija za odabir, ili kao kriterij najniže cijene ili kao jedan od kriterija za odabir ekonomski najpovoljnije ponude.</w:t>
      </w:r>
    </w:p>
    <w:p w14:paraId="073477B0">
      <w:pPr>
        <w:widowControl w:val="false"/>
        <w:spacing w:after="0" w:line="240" w:lineRule="auto"/>
        <w:ind w:left="1" w:right="57" w:firstLine="719"/>
        <w:jc w:val="both"/>
        <w:rPr>
          <w:rFonts w:eastAsia="Times New Roman" w:cs="Times New Roman"/>
          <w:color w:val="000000"/>
          <w:sz w:val="24"/>
          <w:szCs w:val="24"/>
          <w:lang w:val="hr-HR"/>
        </w:rPr>
      </w:pPr>
      <w:r>
        <w:rPr>
          <w:rFonts w:eastAsia="Times New Roman" w:cs="Times New Roman"/>
          <w:color w:val="000000"/>
          <w:sz w:val="24"/>
          <w:szCs w:val="24"/>
          <w:lang w:val="hr-HR"/>
        </w:rPr>
        <w:t xml:space="preserve">Povjerenstvo može prilagođavati Poziv za dostavu ponuda pojedinom postupku nabave te ga nadopuniti projektnim zadacima, nacrtima, projektnom dokumentacijom, crtežima, modelima, uzorcima i slično, u cilju točnijeg određivanja predmeta nabave i zaprimanja što kvalitetnijih ponuda. </w:t>
      </w:r>
    </w:p>
    <w:p w14:paraId="02E05FBA">
      <w:pPr>
        <w:widowControl w:val="false"/>
        <w:spacing w:after="0" w:line="240" w:lineRule="auto"/>
        <w:ind w:left="1" w:right="57" w:firstLine="719"/>
        <w:jc w:val="both"/>
        <w:rPr>
          <w:rFonts w:cs="Times New Roman"/>
          <w:sz w:val="24"/>
          <w:szCs w:val="24"/>
          <w:lang w:val="hr-HR"/>
        </w:rPr>
      </w:pPr>
      <w:r>
        <w:rPr>
          <w:rFonts w:eastAsia="Times New Roman" w:cs="Times New Roman"/>
          <w:color w:val="000000"/>
          <w:sz w:val="24"/>
          <w:szCs w:val="24"/>
          <w:lang w:val="hr-HR"/>
        </w:rPr>
        <w:t xml:space="preserve">Rok za dostavu ponuda iznosi minimalno 5 dana od dana slanja poziva, odnosno objave u EOJN RH. </w:t>
      </w:r>
    </w:p>
    <w:p w14:paraId="74C50C4D">
      <w:pPr>
        <w:widowControl w:val="false"/>
        <w:spacing w:after="0" w:line="240" w:lineRule="auto"/>
        <w:ind w:left="1" w:right="57" w:firstLine="719"/>
        <w:jc w:val="both"/>
        <w:rPr>
          <w:rFonts w:eastAsia="Times New Roman" w:cs="Times New Roman"/>
          <w:color w:val="000000"/>
          <w:sz w:val="24"/>
          <w:szCs w:val="24"/>
          <w:lang w:val="hr-HR"/>
        </w:rPr>
      </w:pPr>
      <w:r>
        <w:rPr>
          <w:rFonts w:eastAsia="Times New Roman" w:cs="Times New Roman"/>
          <w:color w:val="000000"/>
          <w:sz w:val="24"/>
          <w:szCs w:val="24"/>
          <w:lang w:val="hr-HR"/>
        </w:rPr>
        <w:t xml:space="preserve">Iznimno, radi žurnosti i za slučaj ponavljanja postupka jednostavne nabave, Povjerenstvo može odrediti kraći rok za dostavu ponuda. </w:t>
      </w:r>
    </w:p>
    <w:p w14:paraId="4675ECD9">
      <w:pPr>
        <w:widowControl w:val="false"/>
        <w:spacing w:after="0" w:line="240" w:lineRule="auto"/>
        <w:ind w:left="1" w:right="57" w:firstLine="719"/>
        <w:jc w:val="both"/>
        <w:rPr>
          <w:rFonts w:cs="Times New Roman"/>
          <w:sz w:val="24"/>
          <w:szCs w:val="24"/>
          <w:lang w:val="hr-HR"/>
        </w:rPr>
      </w:pPr>
    </w:p>
    <w:p w14:paraId="350C0997">
      <w:pPr>
        <w:widowControl w:val="false"/>
        <w:spacing w:after="0" w:line="240" w:lineRule="auto"/>
        <w:ind w:left="2065" w:right="57"/>
        <w:rPr>
          <w:rFonts w:cs="Times New Roman"/>
          <w:sz w:val="24"/>
          <w:szCs w:val="24"/>
          <w:lang w:val="hr-HR"/>
        </w:rPr>
      </w:pPr>
      <w:r>
        <w:rPr>
          <w:rFonts w:eastAsia="Times New Roman" w:cs="Times New Roman"/>
          <w:b/>
          <w:color w:val="000000"/>
          <w:sz w:val="24"/>
          <w:szCs w:val="24"/>
          <w:lang w:val="hr-HR"/>
        </w:rPr>
        <w:t xml:space="preserve">Analogna primjena pojedinih odredbi i instituta iz Zakona </w:t>
      </w:r>
    </w:p>
    <w:p w14:paraId="29D8A7A5">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15. </w:t>
      </w:r>
    </w:p>
    <w:p w14:paraId="77A42AD9">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U postupcima jednostavne nabave iz članka 8. točka 3. i 4. Povjerenstvo može, kada je to primjereno predmetu nabave, primijeniti pojedine institute Zakona kao što su pojašnjenje i upotpunjavanje ponude, ispravak računske pogreške, provjere uobičajeno niske ponude, uz poštivanje načela javne nabave. </w:t>
      </w:r>
    </w:p>
    <w:p w14:paraId="700CB2BA">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U postupcima jednostavne nabave iz članka 8. točka 3. i 4. Povjerenstvo može, kada je to primjereno predmetu nabave i razmjerno složenosti predmeta nabave primijeniti odredbe Zakona o jamstvima, kriteriju za kvalitativni odabir gospodarskih subjekata, kriteriju za odabir ponude. </w:t>
      </w:r>
    </w:p>
    <w:p w14:paraId="323178FD">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Gospodarski subjekti u postupku jednostavne nabave mogu nastupiti jednako kao što je Zakonom propisano za sudjelovanje gospodarskih subjekata u javnoj nabavi (zajednica ponuditelja, oslanjanje na sposobnost drugih gospodarskih subjekata te podugovaranjem) </w:t>
      </w:r>
    </w:p>
    <w:p w14:paraId="2EFB5FA6">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Primjena instituta iz stavka 1. ovoga članka odnosi se na svrhu i način postupanja s ponudama, dok se rokovi i druga procesna pravila primjenjuju sukladno odredbama ovoga Pravilnika. </w:t>
      </w:r>
    </w:p>
    <w:p w14:paraId="7C911FB2">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U slučaju nedoumica ili pravnih praznina u primjeni ovoga Pravilnika, pojedine odredbe tumače se uzimajući u obzir svrhu i načela Zakona te praksu njegove primjene, na odgovarajući način i samo ako priroda postupka jednostavne nabave to dopušta. </w:t>
      </w:r>
    </w:p>
    <w:p w14:paraId="6679D8F0">
      <w:pPr>
        <w:widowControl w:val="false"/>
        <w:spacing w:after="0" w:line="240" w:lineRule="auto"/>
        <w:ind w:right="57" w:firstLine="720"/>
        <w:jc w:val="both"/>
        <w:rPr>
          <w:rFonts w:eastAsia="Times New Roman" w:cs="Times New Roman"/>
          <w:color w:val="000000"/>
          <w:sz w:val="24"/>
          <w:szCs w:val="24"/>
          <w:lang w:val="hr-HR"/>
        </w:rPr>
      </w:pPr>
    </w:p>
    <w:p w14:paraId="6B8450F7">
      <w:pPr>
        <w:widowControl w:val="false"/>
        <w:spacing w:after="0" w:line="240" w:lineRule="auto"/>
        <w:ind w:right="57" w:firstLine="720"/>
        <w:jc w:val="both"/>
        <w:rPr>
          <w:rFonts w:eastAsia="Times New Roman" w:cs="Times New Roman"/>
          <w:color w:val="000000"/>
          <w:sz w:val="24"/>
          <w:szCs w:val="24"/>
          <w:lang w:val="hr-HR"/>
        </w:rPr>
      </w:pPr>
    </w:p>
    <w:p w14:paraId="4E231581">
      <w:pPr>
        <w:widowControl w:val="false"/>
        <w:spacing w:after="0" w:line="240" w:lineRule="auto"/>
        <w:ind w:right="57" w:firstLine="720"/>
        <w:jc w:val="both"/>
        <w:rPr>
          <w:rFonts w:eastAsia="Times New Roman" w:cs="Times New Roman"/>
          <w:color w:val="000000"/>
          <w:sz w:val="24"/>
          <w:szCs w:val="24"/>
          <w:lang w:val="hr-HR"/>
        </w:rPr>
      </w:pPr>
    </w:p>
    <w:p w14:paraId="32FCE6C8">
      <w:pPr>
        <w:widowControl w:val="false"/>
        <w:spacing w:after="0" w:line="240" w:lineRule="auto"/>
        <w:ind w:right="57" w:firstLine="720"/>
        <w:jc w:val="both"/>
        <w:rPr>
          <w:rFonts w:eastAsia="Times New Roman" w:cs="Times New Roman"/>
          <w:color w:val="000000"/>
          <w:sz w:val="24"/>
          <w:szCs w:val="24"/>
          <w:lang w:val="hr-HR"/>
        </w:rPr>
      </w:pPr>
    </w:p>
    <w:p w14:paraId="2B2E563B">
      <w:pPr>
        <w:widowControl w:val="false"/>
        <w:spacing w:after="0" w:line="240" w:lineRule="auto"/>
        <w:ind w:left="3592" w:right="57"/>
        <w:rPr>
          <w:rFonts w:cs="Times New Roman"/>
          <w:sz w:val="24"/>
          <w:szCs w:val="24"/>
          <w:lang w:val="hr-HR"/>
        </w:rPr>
      </w:pPr>
      <w:r>
        <w:rPr>
          <w:rFonts w:eastAsia="Times New Roman" w:cs="Times New Roman"/>
          <w:b/>
          <w:color w:val="000000"/>
          <w:sz w:val="24"/>
          <w:szCs w:val="24"/>
          <w:lang w:val="hr-HR"/>
        </w:rPr>
        <w:t xml:space="preserve">Komunikacija u postupku</w:t>
      </w:r>
      <w:r>
        <w:rPr>
          <w:rFonts w:eastAsia="Times New Roman" w:cs="Times New Roman"/>
          <w:color w:val="000000"/>
          <w:sz w:val="24"/>
          <w:szCs w:val="24"/>
          <w:lang w:val="hr-HR"/>
        </w:rPr>
        <w:t xml:space="preserve"> </w:t>
      </w:r>
    </w:p>
    <w:p w14:paraId="2BAEEB87">
      <w:pPr>
        <w:widowControl w:val="false"/>
        <w:spacing w:after="0" w:line="240" w:lineRule="auto"/>
        <w:ind w:left="4312" w:right="57"/>
        <w:rPr>
          <w:rFonts w:eastAsia="Times New Roman" w:cs="Times New Roman"/>
          <w:b/>
          <w:color w:val="000000"/>
          <w:sz w:val="24"/>
          <w:szCs w:val="24"/>
          <w:lang w:val="hr-HR"/>
        </w:rPr>
      </w:pPr>
      <w:r>
        <w:rPr>
          <w:rFonts w:eastAsia="Times New Roman" w:cs="Times New Roman"/>
          <w:b/>
          <w:color w:val="000000"/>
          <w:sz w:val="24"/>
          <w:szCs w:val="24"/>
          <w:lang w:val="hr-HR"/>
        </w:rPr>
        <w:t xml:space="preserve">Članak 16.</w:t>
      </w:r>
      <w:r>
        <w:rPr>
          <w:rFonts w:eastAsia="Times New Roman" w:cs="Times New Roman"/>
          <w:color w:val="000000"/>
          <w:sz w:val="24"/>
          <w:szCs w:val="24"/>
          <w:lang w:val="hr-HR"/>
        </w:rPr>
        <w:t xml:space="preserve"> </w:t>
      </w:r>
    </w:p>
    <w:p w14:paraId="708E6891">
      <w:pPr>
        <w:spacing w:after="0" w:line="240" w:lineRule="auto"/>
        <w:ind w:firstLine="720"/>
        <w:jc w:val="both"/>
        <w:rPr>
          <w:rFonts w:cs="Times New Roman"/>
          <w:sz w:val="24"/>
          <w:szCs w:val="24"/>
          <w:lang w:val="hr-HR"/>
        </w:rPr>
      </w:pPr>
      <w:r>
        <w:rPr>
          <w:rFonts w:eastAsia="Times New Roman" w:cs="Times New Roman"/>
          <w:color w:val="000000"/>
          <w:sz w:val="24"/>
          <w:szCs w:val="24"/>
          <w:lang w:val="hr-HR"/>
        </w:rPr>
        <w:t xml:space="preserve">Komunikacija i sva ostala razmjena informacija između čelnika i Povjerenstva obavlja se prema pravilima uredskog poslovanja uz dodatnu komunikaciju elektroničkom poštom, telefonom ili kombinacijom navedenih sredstava komunikacije, koja se odabiru ovisno o svakom pojedinom predmetu nabave, dok se komunikacija i razmjena informacija između ovlaštenih osoba za provedbu postupka i gospodarskih subjekata razlikuje s obzirom na propisana razgraničenja prema procijenjenoj vrijednosti u postupcima jednostavne nabave. </w:t>
      </w:r>
    </w:p>
    <w:p w14:paraId="224E6A4E">
      <w:pPr>
        <w:widowControl w:val="false"/>
        <w:spacing w:after="0" w:line="240" w:lineRule="auto"/>
        <w:ind w:left="1" w:right="57" w:firstLine="719"/>
        <w:jc w:val="both"/>
        <w:rPr>
          <w:rFonts w:cs="Times New Roman"/>
          <w:sz w:val="24"/>
          <w:szCs w:val="24"/>
          <w:lang w:val="hr-HR"/>
        </w:rPr>
      </w:pPr>
      <w:r>
        <w:rPr>
          <w:rFonts w:eastAsia="Times New Roman" w:cs="Times New Roman"/>
          <w:color w:val="000000"/>
          <w:sz w:val="24"/>
          <w:szCs w:val="24"/>
          <w:lang w:val="hr-HR"/>
        </w:rPr>
        <w:t xml:space="preserve">U postupcima jednostavne nabave iz članka 8. točke 2., 3. i 4. ovoga Pravilnika komunikacija se može obavljati elektroničkim sredstvima komunikacije i posredno </w:t>
      </w:r>
      <w:r>
        <w:rPr>
          <w:rFonts w:eastAsia="Times New Roman" w:cs="Times New Roman"/>
          <w:color w:val="000000"/>
          <w:sz w:val="24"/>
          <w:szCs w:val="24"/>
          <w:lang w:val="hr-HR"/>
        </w:rPr>
        <w:t xml:space="preserve">poštanskom pošiljkom, elektroničkom poštom ili kombinacijom navedenih sredstava komunikacije, koja se odabiru ovisno o svakom pojedinom predmetu nabave. </w:t>
      </w:r>
    </w:p>
    <w:p w14:paraId="3550EDE8">
      <w:pPr>
        <w:widowControl w:val="false"/>
        <w:spacing w:after="0" w:line="240" w:lineRule="auto"/>
        <w:ind w:left="1" w:right="57" w:firstLine="719"/>
        <w:jc w:val="both"/>
        <w:rPr>
          <w:rFonts w:cs="Times New Roman"/>
          <w:sz w:val="24"/>
          <w:szCs w:val="24"/>
          <w:lang w:val="hr-HR"/>
        </w:rPr>
      </w:pPr>
      <w:r>
        <w:rPr>
          <w:rFonts w:eastAsia="Times New Roman" w:cs="Times New Roman"/>
          <w:color w:val="000000"/>
          <w:sz w:val="24"/>
          <w:szCs w:val="24"/>
          <w:lang w:val="hr-HR"/>
        </w:rPr>
        <w:t xml:space="preserve">U postupcima jednostavne nabave iz članka 8. točke 3. i 4. ovoga Pravilnika, komunikacija između Povjerenstva i gospodarskih subjekata se obavlja elektroničkim sredstvima komunikacije putem EOJN RH, osim ako to zbog tehničkih razloga nije moguće. </w:t>
      </w:r>
    </w:p>
    <w:p w14:paraId="7CC3A044">
      <w:pPr>
        <w:widowControl w:val="false"/>
        <w:spacing w:after="0" w:line="240" w:lineRule="auto"/>
        <w:ind w:left="1" w:right="57" w:firstLine="719"/>
        <w:jc w:val="both"/>
        <w:rPr>
          <w:rFonts w:cs="Times New Roman"/>
          <w:sz w:val="24"/>
          <w:szCs w:val="24"/>
          <w:lang w:val="hr-HR"/>
        </w:rPr>
      </w:pPr>
      <w:r>
        <w:rPr>
          <w:rFonts w:eastAsia="Times New Roman" w:cs="Times New Roman"/>
          <w:color w:val="000000"/>
          <w:sz w:val="24"/>
          <w:szCs w:val="24"/>
          <w:lang w:val="hr-HR"/>
        </w:rPr>
        <w:t xml:space="preserve">U roku za dostavu ponuda gospodarski subjekti mogu zatražiti objašnjenja ili izmjene vezane uz poziv za dostavu ponuda. </w:t>
      </w:r>
    </w:p>
    <w:p w14:paraId="77E83960">
      <w:pPr>
        <w:widowControl w:val="false"/>
        <w:spacing w:after="0" w:line="240" w:lineRule="auto"/>
        <w:ind w:left="1" w:right="57" w:firstLine="719"/>
        <w:jc w:val="both"/>
        <w:rPr>
          <w:rFonts w:eastAsia="Times New Roman" w:cs="Times New Roman"/>
          <w:color w:val="000000"/>
          <w:sz w:val="24"/>
          <w:szCs w:val="24"/>
          <w:lang w:val="hr-HR"/>
        </w:rPr>
      </w:pPr>
      <w:r>
        <w:rPr>
          <w:rFonts w:eastAsia="Times New Roman" w:cs="Times New Roman"/>
          <w:color w:val="000000"/>
          <w:sz w:val="24"/>
          <w:szCs w:val="24"/>
          <w:lang w:val="hr-HR"/>
        </w:rPr>
        <w:t xml:space="preserve">Odgovor na zatražena objašnjenja ili izmjene vezane uz poziv za dostavu ponuda Povjerenstvo može dostaviti izravno gospodarskim subjektima pozvanim na dostavu ponude, bez navođenja podataka o podnositelju zahtjeva, odnosno objavom u modulu jednostavne nabave EOJN RH. </w:t>
      </w:r>
    </w:p>
    <w:p w14:paraId="22EE0EA3">
      <w:pPr>
        <w:widowControl w:val="false"/>
        <w:spacing w:after="0" w:line="240" w:lineRule="auto"/>
        <w:ind w:left="1" w:right="57" w:firstLine="719"/>
        <w:jc w:val="both"/>
        <w:rPr>
          <w:rFonts w:cs="Times New Roman"/>
          <w:sz w:val="24"/>
          <w:szCs w:val="24"/>
          <w:lang w:val="hr-HR"/>
        </w:rPr>
      </w:pPr>
    </w:p>
    <w:p w14:paraId="21B4594F">
      <w:pPr>
        <w:widowControl w:val="false"/>
        <w:spacing w:after="0" w:line="240" w:lineRule="auto"/>
        <w:ind w:left="3693" w:right="57"/>
        <w:rPr>
          <w:rFonts w:cs="Times New Roman"/>
          <w:sz w:val="24"/>
          <w:szCs w:val="24"/>
          <w:lang w:val="hr-HR"/>
        </w:rPr>
      </w:pPr>
      <w:r>
        <w:rPr>
          <w:rFonts w:eastAsia="Times New Roman" w:cs="Times New Roman"/>
          <w:b/>
          <w:color w:val="000000"/>
          <w:sz w:val="24"/>
          <w:szCs w:val="24"/>
          <w:lang w:val="hr-HR"/>
        </w:rPr>
        <w:t xml:space="preserve">Sadržaj i izrada ponude</w:t>
      </w:r>
      <w:r>
        <w:rPr>
          <w:rFonts w:eastAsia="Times New Roman" w:cs="Times New Roman"/>
          <w:color w:val="000000"/>
          <w:sz w:val="24"/>
          <w:szCs w:val="24"/>
          <w:lang w:val="hr-HR"/>
        </w:rPr>
        <w:t xml:space="preserve"> </w:t>
      </w:r>
    </w:p>
    <w:p w14:paraId="1ED2FA3A">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17.</w:t>
      </w:r>
      <w:r>
        <w:rPr>
          <w:rFonts w:eastAsia="Times New Roman" w:cs="Times New Roman"/>
          <w:color w:val="000000"/>
          <w:sz w:val="24"/>
          <w:szCs w:val="24"/>
          <w:lang w:val="hr-HR"/>
        </w:rPr>
        <w:t xml:space="preserve"> </w:t>
      </w:r>
    </w:p>
    <w:p w14:paraId="1ED64456">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Ponuda je pisana izjava volje ponuditelja da isporuči robu, pruži uslugu ili izvede radove u skladu s uvjetima i zahtjevima navedenima u pozivu za dostavu ponuda i dodatnoj dokumentaciji, ukoliko je ista priložena. </w:t>
      </w:r>
    </w:p>
    <w:p w14:paraId="1D0852BD">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Sadržaj ponude i način izrade ponude propisuje se pozivom za dostavu ponuda i/ili dokumentacijom o nabavi. </w:t>
      </w:r>
    </w:p>
    <w:p w14:paraId="635AD8AD">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Pri izradi ponude ponuditelj se mora pridržavati zahtjeva i uvjeta iz poziva za dostavu ponuda i dokumentacije o nabavi. Ponuditelj ne smije mijenjati ni nadopunjavati tekst poziva za dostavu ponuda i dokumentacije o nabavi. </w:t>
      </w:r>
    </w:p>
    <w:p w14:paraId="2F3751A5">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U roku za dostavu ponude ponuditelj može izmijeniti svoju ponudu, nadopuniti je ili od nje odustati. </w:t>
      </w:r>
    </w:p>
    <w:p w14:paraId="7843F6E3">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Na zahtjev ovlaštenih osoba za provedbu postupka nabave ponuditelj može produžiti rok valjanosti svoje ponude. </w:t>
      </w:r>
    </w:p>
    <w:p w14:paraId="62635B66">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Ponuda se izrađuje u pisanom obliku na hrvatskom jeziku i latiničnom pis</w:t>
      </w:r>
      <w:r>
        <w:rPr>
          <w:rFonts w:eastAsia="Times New Roman" w:cs="Times New Roman"/>
          <w:color w:val="000000"/>
          <w:sz w:val="24"/>
          <w:szCs w:val="24"/>
          <w:lang w:val="hr-HR"/>
        </w:rPr>
        <w:t xml:space="preserve">mu, a dostavlja </w:t>
      </w:r>
      <w:r>
        <w:rPr>
          <w:rFonts w:eastAsia="Times New Roman" w:cs="Times New Roman"/>
          <w:color w:val="000000"/>
          <w:sz w:val="24"/>
          <w:szCs w:val="24"/>
          <w:lang w:val="hr-HR"/>
        </w:rPr>
        <w:t xml:space="preserve">su roku i na način propisan u pozivu za dostavu ponuda. </w:t>
      </w:r>
    </w:p>
    <w:p w14:paraId="18B6387D">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Ispravci u ponudi, kada je to primjenjivo, moraju biti izrađeni na način da su vidljivi (npr. nije dopustivo brisanje, premazivanje ili uklanjanje slova ili otisaka). Ispravci moraju, uz navod datuma ispravka, biti potvrđeni potpisom ponuditelja. </w:t>
      </w:r>
    </w:p>
    <w:p w14:paraId="21A1E47C">
      <w:pPr>
        <w:widowControl w:val="false"/>
        <w:spacing w:after="0" w:line="240" w:lineRule="auto"/>
        <w:ind w:right="57"/>
        <w:jc w:val="both"/>
        <w:rPr>
          <w:rFonts w:eastAsia="Times New Roman" w:cs="Times New Roman"/>
          <w:color w:val="000000"/>
          <w:sz w:val="24"/>
          <w:szCs w:val="24"/>
          <w:lang w:val="hr-HR"/>
        </w:rPr>
      </w:pPr>
    </w:p>
    <w:p w14:paraId="5AC7310D">
      <w:pPr>
        <w:widowControl w:val="false"/>
        <w:spacing w:after="0" w:line="240" w:lineRule="auto"/>
        <w:ind w:left="2567" w:right="57"/>
        <w:rPr>
          <w:rFonts w:cs="Times New Roman"/>
          <w:sz w:val="24"/>
          <w:szCs w:val="24"/>
          <w:lang w:val="hr-HR"/>
        </w:rPr>
      </w:pPr>
      <w:r>
        <w:rPr>
          <w:rFonts w:eastAsia="Times New Roman" w:cs="Times New Roman"/>
          <w:b/>
          <w:color w:val="000000"/>
          <w:sz w:val="24"/>
          <w:szCs w:val="24"/>
          <w:lang w:val="hr-HR"/>
        </w:rPr>
        <w:t xml:space="preserve">Zaprimanje, otvaranje, pregled i ocjena ponuda </w:t>
      </w:r>
    </w:p>
    <w:p w14:paraId="26B1AEEB">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18.</w:t>
      </w:r>
      <w:r>
        <w:rPr>
          <w:rFonts w:eastAsia="Times New Roman" w:cs="Times New Roman"/>
          <w:color w:val="000000"/>
          <w:sz w:val="24"/>
          <w:szCs w:val="24"/>
          <w:lang w:val="hr-HR"/>
        </w:rPr>
        <w:t xml:space="preserve"> </w:t>
      </w:r>
    </w:p>
    <w:p w14:paraId="09903621">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U postupcima jednostavne nabave iz članka 8. točka 3. i 4. ovog Pravilnika odabir ponude predlaže Povjerenstvo za provedbu postupka nabave na temelju valjano zaprimljenih ponuda, dostavljenih u skladu s načinom određenim u pozivu za dostavu ponuda i temeljem provedenog pregleda. </w:t>
      </w:r>
    </w:p>
    <w:p w14:paraId="7C7951C6">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Ponude u postupcima iz članka 8. točke 3. i 4. ovog Pravilnika dostavljaju se elektroničkim sredstvima komunikacije putem modula jednostavne nabave EOJN RH, osim ako to zbog tehničkih razloga nije moguće (dijelovi ponude koji se ne mogu dostaviti elektroničkim putem, nedostupnost modula jednostavne nabave EOJN RH i sl.). </w:t>
      </w:r>
    </w:p>
    <w:p w14:paraId="55430533">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Postupak zaprimanja, otvaranja, pregleda, ocjene i odabira pravovremeno dostavljenih ponuda obavljaju članovi Povjerenstva za provedbu postupka jednostavne nabave te daju prijedlog za odabir najpovoljnije ponude čelniku naručitelja.  </w:t>
      </w:r>
    </w:p>
    <w:p w14:paraId="072B6181">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Ukoliko smatra potrebnim, Povjerenstvo može u postupak pregleda i ocjene pristiglih ponuda uključiti neovisne stručne osobe i/ili tijela. </w:t>
      </w:r>
    </w:p>
    <w:p w14:paraId="26483B86">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Povjerenstvo za provedbu postupka jednostavne nabave može predložiti odbijanje ponude kao neprihvatljive, ako:  </w:t>
      </w:r>
    </w:p>
    <w:p w14:paraId="3C205D38">
      <w:pPr>
        <w:pStyle w:val="Odlomakpopisa"/>
        <w:widowControl w:val="false"/>
        <w:numPr>
          <w:ilvl w:val="0"/>
          <w:numId w:val="8"/>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ponuda nije dostavljena u roku određenom u pozivu na dostavu ponuda,  </w:t>
      </w:r>
    </w:p>
    <w:p w14:paraId="40A50981">
      <w:pPr>
        <w:pStyle w:val="Odlomakpopisa"/>
        <w:widowControl w:val="false"/>
        <w:numPr>
          <w:ilvl w:val="0"/>
          <w:numId w:val="8"/>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ponuda nije potpuna ili nije razumljiva, a nedostatak nije moguće otkloniti pojašnjenjem ili upotpunjavanjem ponude,  </w:t>
      </w:r>
    </w:p>
    <w:p w14:paraId="166A83BD">
      <w:pPr>
        <w:pStyle w:val="Odlomakpopisa"/>
        <w:widowControl w:val="false"/>
        <w:numPr>
          <w:ilvl w:val="0"/>
          <w:numId w:val="8"/>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ponuda ne ispunjava uvjete ili zahtjeve iz poziva na dostavu ponuda,  </w:t>
      </w:r>
    </w:p>
    <w:p w14:paraId="0F4CB664">
      <w:pPr>
        <w:pStyle w:val="Odlomakpopisa"/>
        <w:widowControl w:val="false"/>
        <w:numPr>
          <w:ilvl w:val="0"/>
          <w:numId w:val="8"/>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ponuđeni predmet nabave ne odgovara tehničkim specifikacijama ili drugim zahtjevima naručitelja,  </w:t>
      </w:r>
    </w:p>
    <w:p w14:paraId="0CFDCDCF">
      <w:pPr>
        <w:pStyle w:val="Odlomakpopisa"/>
        <w:widowControl w:val="false"/>
        <w:numPr>
          <w:ilvl w:val="0"/>
          <w:numId w:val="8"/>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ponuditelj nije dokazao ispunjavanje uvjeta sposobnosti, ako su takvi uvjeti bili propisani,  </w:t>
      </w:r>
    </w:p>
    <w:p w14:paraId="7FCD2981">
      <w:pPr>
        <w:pStyle w:val="Odlomakpopisa"/>
        <w:widowControl w:val="false"/>
        <w:numPr>
          <w:ilvl w:val="0"/>
          <w:numId w:val="8"/>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postoje razlozi za isključenje ponuditelja, ako su bili propisani pozivom na dostavu ponuda,  </w:t>
      </w:r>
    </w:p>
    <w:p w14:paraId="7CBE399D">
      <w:pPr>
        <w:pStyle w:val="Odlomakpopisa"/>
        <w:widowControl w:val="false"/>
        <w:numPr>
          <w:ilvl w:val="0"/>
          <w:numId w:val="8"/>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cijena ponude je neuobičajeno niska, a ponuditelj nije dostavio prihvatljivo obrazloženje,  </w:t>
      </w:r>
    </w:p>
    <w:p w14:paraId="28B530B3">
      <w:pPr>
        <w:pStyle w:val="Odlomakpopisa"/>
        <w:widowControl w:val="false"/>
        <w:numPr>
          <w:ilvl w:val="0"/>
          <w:numId w:val="8"/>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ponuda je protivna propisima ili uvjetima iz poziva na dostavu ponuda.  </w:t>
      </w:r>
    </w:p>
    <w:p w14:paraId="4A1A15D3">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Povjerenstvo može predložiti prihvatiti ponudu čija je cijena veća od procijenjene vrijednosti nabave ako su za tu nabavu osigurana financijska sredstva.  </w:t>
      </w:r>
    </w:p>
    <w:p w14:paraId="65C40E7A">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Ako financijska sredstva nisu osigurana, Povjerenstvo će  predložiti odbiti takvu ponudu te, ukoliko nema valjanih ponuda, te predložiti poništiti postupak jednostavne nabave. </w:t>
      </w:r>
    </w:p>
    <w:p w14:paraId="2D6C3B75">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Povjerenstvo o postupku otvaranja, pregleda i ocjene ponuda sastavlja Zapisnik, koji se uz prijedlog Odluke o odabiru ponude bez odgode dostavlja svakom pojedinom ponuditelju koji je dostavio ponudu i to na dokaziv način</w:t>
      </w:r>
      <w:r>
        <w:rPr>
          <w:rFonts w:eastAsia="Times New Roman" w:cs="Times New Roman"/>
          <w:color w:val="FF0000"/>
          <w:sz w:val="24"/>
          <w:szCs w:val="24"/>
          <w:lang w:val="hr-HR"/>
        </w:rPr>
        <w:t xml:space="preserve"> </w:t>
      </w:r>
      <w:r>
        <w:rPr>
          <w:rFonts w:eastAsia="Times New Roman" w:cs="Times New Roman"/>
          <w:color w:val="000000"/>
          <w:sz w:val="24"/>
          <w:szCs w:val="24"/>
          <w:lang w:val="hr-HR"/>
        </w:rPr>
        <w:t xml:space="preserve">ili putem EOJN RH javnom objavom. Odluka o poništenju postupka se dostavlja na isti način kao i Odluka o odabiru. </w:t>
      </w:r>
    </w:p>
    <w:p w14:paraId="2C31C8E1">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Postupak se može poništiti osobito ako nije zaprimljena nijedna valjana ponuda, ako su cijene ponuda veće od procijenjene vrijednosti nabave, ako je to potrebno radi zaštite javnog interesa ili ako su nastupile okolnosti koje onemogućuju provedbu postupka. </w:t>
      </w:r>
    </w:p>
    <w:p w14:paraId="0CF41D42">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Postupak jednostavne nabave u kojem je donesena Odluka o odabiru završava sklapanjem ugovora s odabranim ponuditeljem za postupke iz članka 8. točke 3. i 4. ovog Pravilnika ili dostavom pravovaljano potpisane i ovjerene narudžbenice odabranom ponuditelju za postupke iz članka 8. točka 2. ovog Pravilnika. </w:t>
      </w:r>
    </w:p>
    <w:p w14:paraId="0C132553">
      <w:pPr>
        <w:widowControl w:val="false"/>
        <w:spacing w:after="0" w:line="240" w:lineRule="auto"/>
        <w:ind w:left="2774" w:right="57"/>
        <w:rPr>
          <w:rFonts w:eastAsia="Times New Roman" w:cs="Times New Roman"/>
          <w:b/>
          <w:color w:val="000000"/>
          <w:sz w:val="24"/>
          <w:szCs w:val="24"/>
          <w:lang w:val="hr-HR"/>
        </w:rPr>
      </w:pPr>
    </w:p>
    <w:p w14:paraId="558BAB68">
      <w:pPr>
        <w:widowControl w:val="false"/>
        <w:spacing w:after="0" w:line="240" w:lineRule="auto"/>
        <w:ind w:left="2774" w:right="57"/>
        <w:rPr>
          <w:rFonts w:cs="Times New Roman"/>
          <w:sz w:val="24"/>
          <w:szCs w:val="24"/>
          <w:lang w:val="hr-HR"/>
        </w:rPr>
      </w:pPr>
      <w:r>
        <w:rPr>
          <w:rFonts w:eastAsia="Times New Roman" w:cs="Times New Roman"/>
          <w:b/>
          <w:color w:val="000000"/>
          <w:sz w:val="24"/>
          <w:szCs w:val="24"/>
          <w:lang w:val="hr-HR"/>
        </w:rPr>
        <w:t xml:space="preserve">Rok mirovanja i izvršnost odluke o odabiru </w:t>
      </w:r>
    </w:p>
    <w:p w14:paraId="6A3B8ED8">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19. </w:t>
      </w:r>
    </w:p>
    <w:p w14:paraId="09E3DB0D">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U postupcima jednostavne nabave procijenjene vrijednosti jednake ili veće od 15.000,00 eura, nakon dostave odluke o odabiru ponuditeljima, naručitelj ne smije sklopiti ugovor o nabavi prije isteka rokova za podnošenje prigovora propisanih odredbom članka 20. stavak 3. ovog Pravilnika. </w:t>
      </w:r>
    </w:p>
    <w:p w14:paraId="05572864">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Na Odluku o odabiru ili poništenju postupka nije dopuštena žalba.</w:t>
      </w:r>
    </w:p>
    <w:p w14:paraId="7BB52D50">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Rok iz stavka 1. ovoga članka predstavlja rok mirovanja. </w:t>
      </w:r>
    </w:p>
    <w:p w14:paraId="70983D9C">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Ako u roku iz stavka 1. ovoga članka nije podnesen prigovor, odluka o odabiru postaje izvršna istekom roka za podnošenje prigovora. </w:t>
      </w:r>
    </w:p>
    <w:p w14:paraId="1B808B13">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Ako je prigovor podnesen u roku, odluka o odabiru ne može se izvršiti do donošenja odluke o prigovoru. </w:t>
      </w:r>
    </w:p>
    <w:p w14:paraId="2D64260E">
      <w:pPr>
        <w:widowControl w:val="false"/>
        <w:spacing w:after="0" w:line="240" w:lineRule="auto"/>
        <w:ind w:left="1" w:right="57" w:firstLine="719"/>
        <w:jc w:val="both"/>
        <w:rPr>
          <w:rFonts w:eastAsia="Times New Roman" w:cs="Times New Roman"/>
          <w:color w:val="000000"/>
          <w:sz w:val="24"/>
          <w:szCs w:val="24"/>
          <w:lang w:val="hr-HR"/>
        </w:rPr>
      </w:pPr>
      <w:r>
        <w:rPr>
          <w:rFonts w:eastAsia="Times New Roman" w:cs="Times New Roman"/>
          <w:color w:val="000000"/>
          <w:sz w:val="24"/>
          <w:szCs w:val="24"/>
          <w:lang w:val="hr-HR"/>
        </w:rPr>
        <w:t xml:space="preserve">Rok mirovanja ne primjenjuje se ako je u postupku jednostavne nabave zaprimljena samo jedna ponuda, tada se odluka o odabiru može izvršiti odmah nakon donošenja. </w:t>
      </w:r>
    </w:p>
    <w:p w14:paraId="7614ABDE">
      <w:pPr>
        <w:widowControl w:val="false"/>
        <w:spacing w:after="0" w:line="240" w:lineRule="auto"/>
        <w:ind w:left="1" w:right="57" w:firstLine="719"/>
        <w:jc w:val="both"/>
        <w:rPr>
          <w:rFonts w:eastAsia="Times New Roman" w:cs="Times New Roman"/>
          <w:color w:val="000000"/>
          <w:sz w:val="24"/>
          <w:szCs w:val="24"/>
          <w:lang w:val="hr-HR"/>
        </w:rPr>
      </w:pPr>
    </w:p>
    <w:p w14:paraId="12125A1D">
      <w:pPr>
        <w:widowControl w:val="false"/>
        <w:spacing w:after="0" w:line="240" w:lineRule="auto"/>
        <w:ind w:left="1" w:right="57"/>
        <w:rPr>
          <w:rFonts w:cs="Times New Roman"/>
          <w:sz w:val="24"/>
          <w:szCs w:val="24"/>
          <w:lang w:val="hr-HR"/>
        </w:rPr>
      </w:pPr>
      <w:r>
        <w:rPr>
          <w:rFonts w:eastAsia="Times New Roman" w:cs="Times New Roman"/>
          <w:b/>
          <w:color w:val="000000"/>
          <w:sz w:val="24"/>
          <w:szCs w:val="24"/>
          <w:lang w:val="hr-HR"/>
        </w:rPr>
        <w:t xml:space="preserve">III. PRAVNA ZAŠTITA </w:t>
      </w:r>
    </w:p>
    <w:p w14:paraId="6517C4C1">
      <w:pPr>
        <w:widowControl w:val="false"/>
        <w:spacing w:after="0" w:line="240" w:lineRule="auto"/>
        <w:ind w:left="3626" w:right="57"/>
        <w:rPr>
          <w:rFonts w:cs="Times New Roman"/>
          <w:sz w:val="24"/>
          <w:szCs w:val="24"/>
          <w:lang w:val="hr-HR"/>
        </w:rPr>
      </w:pPr>
      <w:r>
        <w:rPr>
          <w:rFonts w:eastAsia="Times New Roman" w:cs="Times New Roman"/>
          <w:b/>
          <w:color w:val="000000"/>
          <w:sz w:val="24"/>
          <w:szCs w:val="24"/>
          <w:lang w:val="hr-HR"/>
        </w:rPr>
        <w:t xml:space="preserve">Pravna zaštita – prigovor</w:t>
      </w:r>
      <w:r>
        <w:rPr>
          <w:rFonts w:eastAsia="Times New Roman" w:cs="Times New Roman"/>
          <w:color w:val="000000"/>
          <w:sz w:val="24"/>
          <w:szCs w:val="24"/>
          <w:lang w:val="hr-HR"/>
        </w:rPr>
        <w:t xml:space="preserve"> </w:t>
      </w:r>
    </w:p>
    <w:p w14:paraId="5BE3FF1F">
      <w:pPr>
        <w:widowControl w:val="false"/>
        <w:spacing w:after="0" w:line="240" w:lineRule="auto"/>
        <w:ind w:left="4312" w:right="57"/>
        <w:rPr>
          <w:rFonts w:eastAsia="Times New Roman" w:cs="Times New Roman"/>
          <w:color w:val="000000"/>
          <w:sz w:val="24"/>
          <w:szCs w:val="24"/>
          <w:lang w:val="hr-HR"/>
        </w:rPr>
      </w:pPr>
      <w:r>
        <w:rPr>
          <w:rFonts w:eastAsia="Times New Roman" w:cs="Times New Roman"/>
          <w:b/>
          <w:color w:val="000000"/>
          <w:sz w:val="24"/>
          <w:szCs w:val="24"/>
          <w:lang w:val="hr-HR"/>
        </w:rPr>
        <w:t xml:space="preserve">Članak 20.</w:t>
      </w:r>
      <w:r>
        <w:rPr>
          <w:rFonts w:eastAsia="Times New Roman" w:cs="Times New Roman"/>
          <w:color w:val="000000"/>
          <w:sz w:val="24"/>
          <w:szCs w:val="24"/>
          <w:lang w:val="hr-HR"/>
        </w:rPr>
        <w:t xml:space="preserve"> </w:t>
      </w:r>
    </w:p>
    <w:p w14:paraId="54BF2E63">
      <w:pPr>
        <w:widowControl w:val="false"/>
        <w:spacing w:after="0" w:line="240" w:lineRule="auto"/>
        <w:ind w:right="57" w:firstLine="720"/>
        <w:rPr>
          <w:rFonts w:cs="Times New Roman"/>
          <w:sz w:val="24"/>
          <w:szCs w:val="24"/>
          <w:lang w:val="hr-HR"/>
        </w:rPr>
      </w:pPr>
      <w:r>
        <w:rPr>
          <w:rFonts w:eastAsia="Times New Roman" w:cs="Times New Roman"/>
          <w:color w:val="000000"/>
          <w:sz w:val="24"/>
          <w:szCs w:val="24"/>
          <w:lang w:val="hr-HR"/>
        </w:rPr>
        <w:t xml:space="preserve">Gospodarski subjekt koji ima ili je imao interes za dobivanje ugovora u postupcima jednostavne nabave čija je procijenjena vrijednost veća od 15.000,00 eura, može podnijeti prigovor na radnje u postupku jednostavne nabave, a osobito na: </w:t>
      </w:r>
    </w:p>
    <w:p w14:paraId="45637BE8">
      <w:pPr>
        <w:pStyle w:val="Odlomakpopisa"/>
        <w:widowControl w:val="false"/>
        <w:numPr>
          <w:ilvl w:val="0"/>
          <w:numId w:val="2"/>
        </w:numPr>
        <w:spacing w:after="0" w:line="240" w:lineRule="auto"/>
        <w:ind w:right="57"/>
        <w:rPr>
          <w:rFonts w:cs="Times New Roman"/>
          <w:sz w:val="24"/>
          <w:szCs w:val="24"/>
          <w:lang w:val="hr-HR"/>
        </w:rPr>
      </w:pPr>
      <w:r>
        <w:rPr>
          <w:rFonts w:eastAsia="Times New Roman" w:cs="Times New Roman"/>
          <w:color w:val="000000"/>
          <w:sz w:val="24"/>
          <w:szCs w:val="24"/>
          <w:lang w:val="hr-HR"/>
        </w:rPr>
        <w:t xml:space="preserve">sadržaj poziva na dostavu ponuda odnosno dokumentacije o nabavi, </w:t>
      </w:r>
    </w:p>
    <w:p w14:paraId="14955B5C">
      <w:pPr>
        <w:pStyle w:val="Odlomakpopisa"/>
        <w:widowControl w:val="false"/>
        <w:numPr>
          <w:ilvl w:val="0"/>
          <w:numId w:val="2"/>
        </w:numPr>
        <w:spacing w:after="0" w:line="240" w:lineRule="auto"/>
        <w:ind w:right="57"/>
        <w:rPr>
          <w:rFonts w:cs="Times New Roman"/>
          <w:sz w:val="24"/>
          <w:szCs w:val="24"/>
          <w:lang w:val="hr-HR"/>
        </w:rPr>
      </w:pPr>
      <w:r>
        <w:rPr>
          <w:rFonts w:eastAsia="Times New Roman" w:cs="Times New Roman"/>
          <w:color w:val="000000"/>
          <w:sz w:val="24"/>
          <w:szCs w:val="24"/>
          <w:lang w:val="hr-HR"/>
        </w:rPr>
        <w:t xml:space="preserve">postupak pregleda i ocjene ponuda, </w:t>
      </w:r>
    </w:p>
    <w:p w14:paraId="40DE975D">
      <w:pPr>
        <w:pStyle w:val="Odlomakpopisa"/>
        <w:widowControl w:val="false"/>
        <w:numPr>
          <w:ilvl w:val="0"/>
          <w:numId w:val="2"/>
        </w:numPr>
        <w:spacing w:after="0" w:line="240" w:lineRule="auto"/>
        <w:ind w:right="57"/>
        <w:rPr>
          <w:rFonts w:cs="Times New Roman"/>
          <w:sz w:val="24"/>
          <w:szCs w:val="24"/>
          <w:lang w:val="hr-HR"/>
        </w:rPr>
      </w:pPr>
      <w:r>
        <w:rPr>
          <w:rFonts w:eastAsia="Times New Roman" w:cs="Times New Roman"/>
          <w:color w:val="000000"/>
          <w:sz w:val="24"/>
          <w:szCs w:val="24"/>
          <w:lang w:val="hr-HR"/>
        </w:rPr>
        <w:t xml:space="preserve">odluku o odabiru ponude, odluku o poništenju postupka jednostavne nabave. </w:t>
      </w:r>
    </w:p>
    <w:p w14:paraId="36619471">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Prigovor mora sadržavati najmanje: podatke o gospodarskom subjektu koji podnosi prigovor, oznaku postupka jednostavne nabave, radnju naručitelja na koju se prigovor odnosi, razloge prigovora i obrazloženje, dokaze na kojima se prigovor temelji i prijedlog načina otklanjanja navodne nepravilnosti. </w:t>
      </w:r>
    </w:p>
    <w:p w14:paraId="58887BBB">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Prigovor iz stavka 1. ovoga članka podnosi se čelniku naručitelja:</w:t>
      </w:r>
      <w:r>
        <w:rPr>
          <w:rFonts w:eastAsia="Times New Roman" w:cs="Times New Roman"/>
          <w:i/>
          <w:color w:val="000000"/>
          <w:sz w:val="24"/>
          <w:szCs w:val="24"/>
          <w:lang w:val="hr-HR"/>
        </w:rPr>
        <w:t xml:space="preserve">  </w:t>
      </w:r>
    </w:p>
    <w:p w14:paraId="06FF961F">
      <w:pPr>
        <w:pStyle w:val="Odlomakpopisa"/>
        <w:widowControl w:val="false"/>
        <w:numPr>
          <w:ilvl w:val="0"/>
          <w:numId w:val="14"/>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u roku od 3 kalendarska dana od dana dostave odluke o odabiru ili odluke o poništenju postupka, kada se prigovor odnosi na te odluke odnosno postupak pregleda i ocjene ponuda,</w:t>
      </w:r>
      <w:r>
        <w:rPr>
          <w:rFonts w:eastAsia="Times New Roman" w:cs="Times New Roman"/>
          <w:i/>
          <w:color w:val="000000"/>
          <w:sz w:val="24"/>
          <w:szCs w:val="24"/>
          <w:lang w:val="hr-HR"/>
        </w:rPr>
        <w:t xml:space="preserve"> </w:t>
      </w:r>
    </w:p>
    <w:p w14:paraId="162EC6EE">
      <w:pPr>
        <w:pStyle w:val="Odlomakpopisa"/>
        <w:widowControl w:val="false"/>
        <w:numPr>
          <w:ilvl w:val="0"/>
          <w:numId w:val="14"/>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najkasnije do isteka roka za dostavu ponuda, kada se prigovor odnosi na sadržaj poziva odnosno dokumentacije o nabavi,</w:t>
      </w:r>
      <w:r>
        <w:rPr>
          <w:rFonts w:eastAsia="Times New Roman" w:cs="Times New Roman"/>
          <w:i/>
          <w:color w:val="000000"/>
          <w:sz w:val="24"/>
          <w:szCs w:val="24"/>
          <w:lang w:val="hr-HR"/>
        </w:rPr>
        <w:t xml:space="preserve"> </w:t>
      </w:r>
      <w:r>
        <w:rPr>
          <w:rFonts w:eastAsia="Times New Roman" w:cs="Times New Roman"/>
          <w:color w:val="000000"/>
          <w:sz w:val="24"/>
          <w:szCs w:val="24"/>
          <w:lang w:val="hr-HR"/>
        </w:rPr>
        <w:t xml:space="preserve">osim ako drugačije nije propisano pozivom na dostavu ponuda</w:t>
      </w:r>
      <w:r>
        <w:rPr>
          <w:rFonts w:eastAsia="Times New Roman" w:cs="Times New Roman"/>
          <w:i/>
          <w:color w:val="000000"/>
          <w:sz w:val="24"/>
          <w:szCs w:val="24"/>
          <w:lang w:val="hr-HR"/>
        </w:rPr>
        <w:t xml:space="preserve">. </w:t>
      </w:r>
    </w:p>
    <w:p w14:paraId="1B925D9F">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Čelnik naručitelja imenuje povjerenstvo za rješavanje prigovora odmah po stupanju na snagu ovog Pravilnika.  </w:t>
      </w:r>
    </w:p>
    <w:p w14:paraId="591E6956">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Povjerenstvo razmatra navode prigovora, provodi potrebne provjere te čelniku naručitelja dostavlja prijedlog odluke o prigovoru. </w:t>
      </w:r>
    </w:p>
    <w:p w14:paraId="7EBBFA81">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Povodom prigovora se može odlučiti sljedeće:  </w:t>
      </w:r>
    </w:p>
    <w:p w14:paraId="0C862725">
      <w:pPr>
        <w:pStyle w:val="Odlomakpopisa"/>
        <w:widowControl w:val="false"/>
        <w:numPr>
          <w:ilvl w:val="0"/>
          <w:numId w:val="16"/>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odbaciti prigovor ako nije pravodoban ili nije dopušten,  </w:t>
      </w:r>
    </w:p>
    <w:p w14:paraId="119868B9">
      <w:pPr>
        <w:pStyle w:val="Odlomakpopisa"/>
        <w:widowControl w:val="false"/>
        <w:numPr>
          <w:ilvl w:val="0"/>
          <w:numId w:val="16"/>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odbiti prigovor kao neosnovan,  </w:t>
      </w:r>
    </w:p>
    <w:p w14:paraId="1EF6301D">
      <w:pPr>
        <w:pStyle w:val="Odlomakpopisa"/>
        <w:widowControl w:val="false"/>
        <w:numPr>
          <w:ilvl w:val="0"/>
          <w:numId w:val="16"/>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prihvatiti prigovor i naložiti otklanjanje utvrđenih nepravilnosti,  </w:t>
      </w:r>
    </w:p>
    <w:p w14:paraId="65A09722">
      <w:pPr>
        <w:pStyle w:val="Odlomakpopisa"/>
        <w:widowControl w:val="false"/>
        <w:numPr>
          <w:ilvl w:val="0"/>
          <w:numId w:val="16"/>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poništiti postupak jednostavne nabave ili njegov dio. </w:t>
      </w:r>
    </w:p>
    <w:p w14:paraId="5CD2E1F2">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Povjerenstvo iz stavka 4. ovog članka dužno je o prigovoru odlučiti u roku od 5 kalendarskih dana od dana primitka prigovora. Odluka o prigovoru dostavlja se podnositelju prigovora elektroničkim sredstvima komunikacije putem modula jednostavne nabave EOJN RH osim ukoliko drugačije nije propisano pozivom na dostavu ponuda. </w:t>
      </w:r>
    </w:p>
    <w:p w14:paraId="2132DEA7">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U postupcima jednostavne nabave čija je procijenjena vrijednost manja ili jednaka 15.000,00 eura, prigovor nije dopušten. </w:t>
      </w:r>
    </w:p>
    <w:p w14:paraId="37946910">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Podnošenje prigovora u pravilu odgađa provedbu jednostavne nabave i sklapanje ugovora odnosno izdavanja narudžbenice, osim ako čelnik naručitelja ocijeni da bi odgoda štetila javnom interesu, kao i za slučaj žurnosti propisan člankom 5. i člankom 12. stavak 4. točka c) ovog Pravilnika. </w:t>
      </w:r>
    </w:p>
    <w:p w14:paraId="538F4DB9">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Podnositelju prigovora ne pripada pravo na naknadu troškova u povodu izjavljenog prigovora. </w:t>
      </w:r>
    </w:p>
    <w:p w14:paraId="3BA593EA">
      <w:pPr>
        <w:widowControl w:val="false"/>
        <w:spacing w:after="0" w:line="240" w:lineRule="auto"/>
        <w:ind w:left="1" w:right="57" w:firstLine="719"/>
        <w:jc w:val="both"/>
        <w:rPr>
          <w:rFonts w:cs="Times New Roman"/>
          <w:sz w:val="24"/>
          <w:szCs w:val="24"/>
          <w:lang w:val="hr-HR"/>
        </w:rPr>
      </w:pPr>
      <w:r>
        <w:rPr>
          <w:rFonts w:cs="Times New Roman"/>
          <w:sz w:val="24"/>
          <w:szCs w:val="24"/>
          <w:lang w:val="hr-HR"/>
        </w:rPr>
        <w:t xml:space="preserve">Postupak odlučivanja o prigovoru iz ovoga članka nije upravni postupak, a odluka odgovorne osobe Naručitelja nema svojstvo upravnog akta.</w:t>
      </w:r>
    </w:p>
    <w:p w14:paraId="5A284C73">
      <w:pPr>
        <w:widowControl w:val="false"/>
        <w:spacing w:after="0" w:line="240" w:lineRule="auto"/>
        <w:ind w:left="1" w:right="57" w:firstLine="719"/>
        <w:jc w:val="both"/>
        <w:rPr>
          <w:rFonts w:cs="Times New Roman"/>
          <w:sz w:val="24"/>
          <w:szCs w:val="24"/>
          <w:lang w:val="hr-HR"/>
        </w:rPr>
      </w:pPr>
    </w:p>
    <w:p w14:paraId="5709CCD0">
      <w:pPr>
        <w:widowControl w:val="false"/>
        <w:spacing w:after="0" w:line="240" w:lineRule="auto"/>
        <w:ind w:left="1" w:right="57"/>
        <w:jc w:val="both"/>
        <w:rPr>
          <w:rFonts w:cs="Times New Roman"/>
          <w:sz w:val="24"/>
          <w:szCs w:val="24"/>
          <w:lang w:val="hr-HR"/>
        </w:rPr>
      </w:pPr>
      <w:r>
        <w:rPr>
          <w:rFonts w:eastAsia="Times New Roman" w:cs="Times New Roman"/>
          <w:b/>
          <w:color w:val="000000"/>
          <w:sz w:val="24"/>
          <w:szCs w:val="24"/>
          <w:lang w:val="hr-HR"/>
        </w:rPr>
        <w:t xml:space="preserve">IV. UGOVOR </w:t>
      </w:r>
      <w:r>
        <w:rPr>
          <w:rFonts w:eastAsia="Times New Roman" w:cs="Times New Roman"/>
          <w:color w:val="000000"/>
          <w:sz w:val="24"/>
          <w:szCs w:val="24"/>
          <w:lang w:val="hr-HR"/>
        </w:rPr>
        <w:t xml:space="preserve"> </w:t>
      </w:r>
    </w:p>
    <w:p w14:paraId="2E033D20">
      <w:pPr>
        <w:widowControl w:val="false"/>
        <w:spacing w:after="0" w:line="240" w:lineRule="auto"/>
        <w:ind w:left="3938" w:right="57"/>
        <w:rPr>
          <w:rFonts w:cs="Times New Roman"/>
          <w:sz w:val="24"/>
          <w:szCs w:val="24"/>
          <w:lang w:val="hr-HR"/>
        </w:rPr>
      </w:pPr>
      <w:r>
        <w:rPr>
          <w:rFonts w:eastAsia="Times New Roman" w:cs="Times New Roman"/>
          <w:b/>
          <w:color w:val="000000"/>
          <w:sz w:val="24"/>
          <w:szCs w:val="24"/>
          <w:lang w:val="hr-HR"/>
        </w:rPr>
        <w:t xml:space="preserve">Sklapanje ugovora</w:t>
      </w:r>
      <w:r>
        <w:rPr>
          <w:rFonts w:eastAsia="Times New Roman" w:cs="Times New Roman"/>
          <w:color w:val="000000"/>
          <w:sz w:val="24"/>
          <w:szCs w:val="24"/>
          <w:lang w:val="hr-HR"/>
        </w:rPr>
        <w:t xml:space="preserve"> </w:t>
      </w:r>
    </w:p>
    <w:p w14:paraId="4D4CCE3D">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21.</w:t>
      </w:r>
      <w:r>
        <w:rPr>
          <w:rFonts w:eastAsia="Times New Roman" w:cs="Times New Roman"/>
          <w:color w:val="000000"/>
          <w:sz w:val="24"/>
          <w:szCs w:val="24"/>
          <w:lang w:val="hr-HR"/>
        </w:rPr>
        <w:t xml:space="preserve"> </w:t>
      </w:r>
    </w:p>
    <w:p w14:paraId="1690DD4B">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Po izvršnosti Odluke o odabiru, naručitelj i odabrani ponuditelj sklapaju ugovor o jednostavnoj nabavi u pisanom obliku, odnosno naručitelj izdaje narudžbenicu odabranom ponuditelju. </w:t>
      </w:r>
    </w:p>
    <w:p w14:paraId="4E8645A3">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Ugovori o jednostavnoj nabavi sklopljeni temeljem postupka iz članka 8. točke 3. i 4. ovog Pravilnika mogu se razmijeniti u digitalnom obliku između ugovornih strana uz korištenje kvalificiranog elektroničkog potpisa. </w:t>
      </w:r>
    </w:p>
    <w:p w14:paraId="102A4B52">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Ugovor o jednostavnoj nabavi mora sadržavati sve bitne sastojke ponude i biti u skladu s uvjetima iz poziva za dostavu ponuda i odabranom ponudom. </w:t>
      </w:r>
    </w:p>
    <w:p w14:paraId="419838BE">
      <w:pPr>
        <w:widowControl w:val="false"/>
        <w:spacing w:after="0" w:line="240" w:lineRule="auto"/>
        <w:ind w:right="57" w:firstLine="720"/>
        <w:jc w:val="both"/>
        <w:rPr>
          <w:rFonts w:cs="Times New Roman"/>
          <w:sz w:val="24"/>
          <w:szCs w:val="24"/>
          <w:lang w:val="hr-HR"/>
        </w:rPr>
      </w:pPr>
    </w:p>
    <w:p w14:paraId="07C5B475">
      <w:pPr>
        <w:widowControl w:val="false"/>
        <w:spacing w:after="0" w:line="240" w:lineRule="auto"/>
        <w:ind w:right="57" w:firstLine="720"/>
        <w:jc w:val="both"/>
        <w:rPr>
          <w:rFonts w:cs="Times New Roman"/>
          <w:sz w:val="24"/>
          <w:szCs w:val="24"/>
          <w:lang w:val="hr-HR"/>
        </w:rPr>
      </w:pPr>
    </w:p>
    <w:p w14:paraId="46A8A167">
      <w:pPr>
        <w:widowControl w:val="false"/>
        <w:spacing w:after="0" w:line="240" w:lineRule="auto"/>
        <w:ind w:right="57" w:firstLine="720"/>
        <w:jc w:val="both"/>
        <w:rPr>
          <w:rFonts w:cs="Times New Roman"/>
          <w:sz w:val="24"/>
          <w:szCs w:val="24"/>
          <w:lang w:val="hr-HR"/>
        </w:rPr>
      </w:pPr>
    </w:p>
    <w:p w14:paraId="4E44CF66">
      <w:pPr>
        <w:widowControl w:val="false"/>
        <w:spacing w:after="0" w:line="240" w:lineRule="auto"/>
        <w:ind w:left="4022" w:right="57"/>
        <w:rPr>
          <w:rFonts w:cs="Times New Roman"/>
          <w:sz w:val="24"/>
          <w:szCs w:val="24"/>
          <w:lang w:val="hr-HR"/>
        </w:rPr>
      </w:pPr>
      <w:r>
        <w:rPr>
          <w:rFonts w:eastAsia="Times New Roman" w:cs="Times New Roman"/>
          <w:b/>
          <w:color w:val="000000"/>
          <w:sz w:val="24"/>
          <w:szCs w:val="24"/>
          <w:lang w:val="hr-HR"/>
        </w:rPr>
        <w:t xml:space="preserve">Izmjena ugovora </w:t>
      </w:r>
    </w:p>
    <w:p w14:paraId="40D553DF">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22.</w:t>
      </w:r>
      <w:r>
        <w:rPr>
          <w:rFonts w:eastAsia="Times New Roman" w:cs="Times New Roman"/>
          <w:color w:val="000000"/>
          <w:sz w:val="24"/>
          <w:szCs w:val="24"/>
          <w:lang w:val="hr-HR"/>
        </w:rPr>
        <w:t xml:space="preserve"> </w:t>
      </w:r>
    </w:p>
    <w:p w14:paraId="52FF675B">
      <w:pPr>
        <w:pStyle w:val="Bezproreda"/>
        <w:spacing/>
        <w:ind w:firstLine="720"/>
        <w:jc w:val="both"/>
        <w:rPr>
          <w:rFonts w:ascii="Times New Roman" w:hAnsi="Times New Roman" w:eastAsia="Times New Roman" w:cs="Times New Roman"/>
          <w:color w:val="000000"/>
          <w:sz w:val="24"/>
          <w:szCs w:val="24"/>
          <w:lang w:val="hr-HR"/>
        </w:rPr>
      </w:pPr>
      <w:r>
        <w:rPr>
          <w:rFonts w:ascii="Times New Roman" w:hAnsi="Times New Roman" w:eastAsia="Times New Roman" w:cs="Times New Roman"/>
          <w:color w:val="000000"/>
          <w:sz w:val="24"/>
          <w:szCs w:val="24"/>
          <w:lang w:val="hr-HR"/>
        </w:rPr>
        <w:t xml:space="preserve">Izmjene ugovora o jednostavnoj nabavi za vrijeme njegova trajanja dozvoljene su pod uvjetom da se ne mijenja pravna priroda ugovora te da ugovorena vrijednost nabave i ukupna vrijednost svih izmjena bez PDV-a ne prelaze vrijednost nabave za koju ne postoji obveza primjene Zakona o javnoj nabavi. </w:t>
      </w:r>
    </w:p>
    <w:p w14:paraId="2B2CE3A1">
      <w:pPr>
        <w:pStyle w:val="Bezproreda"/>
        <w:spacing/>
        <w:ind w:firstLine="720"/>
        <w:jc w:val="both"/>
        <w:rPr>
          <w:rFonts w:ascii="Times New Roman" w:hAnsi="Times New Roman" w:eastAsia="Times New Roman" w:cs="Times New Roman"/>
          <w:color w:val="000000"/>
          <w:sz w:val="24"/>
          <w:szCs w:val="24"/>
          <w:lang w:val="hr-HR"/>
        </w:rPr>
      </w:pPr>
      <w:r>
        <w:rPr>
          <w:rFonts w:ascii="Times New Roman" w:hAnsi="Times New Roman" w:eastAsia="Times New Roman" w:cs="Times New Roman"/>
          <w:color w:val="000000"/>
          <w:sz w:val="24"/>
          <w:szCs w:val="24"/>
          <w:lang w:val="hr-HR"/>
        </w:rPr>
        <w:t xml:space="preserve">Na odgovornost ugovornih strana za ispunjenje obveza iz ugovora o jednostavnoj nabavi primjenjuju se odgovarajuće odredbe Zakona o obveznim odnosima.</w:t>
      </w:r>
    </w:p>
    <w:p w14:paraId="74255B98">
      <w:pPr>
        <w:pStyle w:val="Bezproreda"/>
        <w:spacing/>
        <w:ind w:firstLine="720"/>
        <w:jc w:val="both"/>
        <w:rPr>
          <w:rFonts w:ascii="Times New Roman" w:hAnsi="Times New Roman" w:eastAsia="Times New Roman" w:cs="Times New Roman"/>
          <w:color w:val="000000"/>
          <w:sz w:val="24"/>
          <w:szCs w:val="24"/>
          <w:lang w:val="hr-HR"/>
        </w:rPr>
      </w:pPr>
    </w:p>
    <w:p w14:paraId="5837DAB1">
      <w:pPr>
        <w:widowControl w:val="false"/>
        <w:spacing w:after="0" w:line="240" w:lineRule="auto"/>
        <w:ind w:left="3434" w:right="57"/>
        <w:rPr>
          <w:rFonts w:cs="Times New Roman"/>
          <w:sz w:val="24"/>
          <w:szCs w:val="24"/>
          <w:lang w:val="hr-HR"/>
        </w:rPr>
      </w:pPr>
      <w:r>
        <w:rPr>
          <w:rFonts w:eastAsia="Times New Roman" w:cs="Times New Roman"/>
          <w:b/>
          <w:color w:val="000000"/>
          <w:sz w:val="24"/>
          <w:szCs w:val="24"/>
          <w:lang w:val="hr-HR"/>
        </w:rPr>
        <w:t xml:space="preserve">Izvršenje jednostavne nabave</w:t>
      </w:r>
      <w:r>
        <w:rPr>
          <w:rFonts w:eastAsia="Times New Roman" w:cs="Times New Roman"/>
          <w:color w:val="000000"/>
          <w:sz w:val="24"/>
          <w:szCs w:val="24"/>
          <w:lang w:val="hr-HR"/>
        </w:rPr>
        <w:t xml:space="preserve"> </w:t>
      </w:r>
    </w:p>
    <w:p w14:paraId="71CD9788">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23.</w:t>
      </w:r>
      <w:r>
        <w:rPr>
          <w:rFonts w:eastAsia="Times New Roman" w:cs="Times New Roman"/>
          <w:color w:val="000000"/>
          <w:sz w:val="24"/>
          <w:szCs w:val="24"/>
          <w:lang w:val="hr-HR"/>
        </w:rPr>
        <w:t xml:space="preserve"> </w:t>
      </w:r>
    </w:p>
    <w:p w14:paraId="773B376F">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Izvršenje jednostavne nabave mora biti u skladu s uvjetima određenim u pozivu za dostavu ponuda, dokumentacijom o nabavi, odabranom ponudom, izdanom narudžbenicom i sklopljenim ugovorom. Odgovornu osobu za praćenje izvršenja pojedinog ugovora određuje odlukom o imenovanju povjerenstva za provedbu postupka nabave čelnik Naručitelja. </w:t>
      </w:r>
    </w:p>
    <w:p w14:paraId="35CAA76B">
      <w:pPr>
        <w:widowControl w:val="false"/>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Osobe iz stavka 2. ovoga članka osobito provjeravaju: </w:t>
      </w:r>
    </w:p>
    <w:p w14:paraId="3A8584B8">
      <w:pPr>
        <w:pStyle w:val="Odlomakpopisa"/>
        <w:widowControl w:val="false"/>
        <w:numPr>
          <w:ilvl w:val="1"/>
          <w:numId w:val="13"/>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ispunjava li gospodarski subjekt ugovorene obveze u skladu s ugovorom i ponudom, </w:t>
      </w:r>
    </w:p>
    <w:p w14:paraId="2F41604F">
      <w:pPr>
        <w:pStyle w:val="Odlomakpopisa"/>
        <w:widowControl w:val="false"/>
        <w:numPr>
          <w:ilvl w:val="1"/>
          <w:numId w:val="13"/>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kvalitetu, količinu i rokove isporuke robe, usluga ili radova, </w:t>
      </w:r>
    </w:p>
    <w:p w14:paraId="7A188BE4">
      <w:pPr>
        <w:pStyle w:val="Odlomakpopisa"/>
        <w:widowControl w:val="false"/>
        <w:numPr>
          <w:ilvl w:val="1"/>
          <w:numId w:val="13"/>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usklađenost izvršenja s uvjetima iz poziva na dostavu ponuda i sklopljenog ugovora. </w:t>
      </w:r>
    </w:p>
    <w:p w14:paraId="1ABB97D3">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Odgovorna osoba za praćenje izvršenja ugovora obvezna je o uočenim nepravilnostima ili odstupanjima od ugovorenih uvjeta bez odgode obavijestiti čelnika Naručitelja radi poduzimanja odgovarajućih mjera. </w:t>
      </w:r>
    </w:p>
    <w:p w14:paraId="29BC4602">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U slučaju neispunjenja ugovornih obveza od strane odabranog ponuditelja, naručitelj može pokrenuti postupak raskida ugovora sukladno odredbama sklopljenog ugovora i propisima obveznog prava. Ako gospodarski subjekt ne izvršava ugovorene obveze uredno ili pravodobno, osoba zadužena za praćenje izvršenja ugovora dužna je o tome bez odgode obavijestiti čelnika naručitelja ili odgovornu osobu naručitelja. </w:t>
      </w:r>
    </w:p>
    <w:p w14:paraId="36D671BA">
      <w:pPr>
        <w:widowControl w:val="false"/>
        <w:spacing w:after="0" w:line="240" w:lineRule="auto"/>
        <w:ind w:left="27" w:right="57" w:firstLine="693"/>
        <w:jc w:val="both"/>
        <w:rPr>
          <w:rFonts w:cs="Times New Roman"/>
          <w:sz w:val="24"/>
          <w:szCs w:val="24"/>
          <w:lang w:val="hr-HR"/>
        </w:rPr>
      </w:pPr>
      <w:r>
        <w:rPr>
          <w:rFonts w:eastAsia="Times New Roman" w:cs="Times New Roman"/>
          <w:color w:val="000000"/>
          <w:sz w:val="24"/>
          <w:szCs w:val="24"/>
          <w:lang w:val="hr-HR"/>
        </w:rPr>
        <w:t xml:space="preserve">U slučaju nepravilnosti u izvršenju ugovora naručitelj može poduzeti mjere predviđene ugovorom, osobito: </w:t>
      </w:r>
    </w:p>
    <w:p w14:paraId="5BD5AC7C">
      <w:pPr>
        <w:pStyle w:val="Odlomakpopisa"/>
        <w:widowControl w:val="false"/>
        <w:numPr>
          <w:ilvl w:val="1"/>
          <w:numId w:val="4"/>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zahtijevati otklanjanje nedostataka, </w:t>
      </w:r>
    </w:p>
    <w:p w14:paraId="2F46E891">
      <w:pPr>
        <w:pStyle w:val="Odlomakpopisa"/>
        <w:widowControl w:val="false"/>
        <w:numPr>
          <w:ilvl w:val="1"/>
          <w:numId w:val="4"/>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naplatiti ugovornu kaznu ili drugo ugovoreno osiguranje, </w:t>
      </w:r>
    </w:p>
    <w:p w14:paraId="4E54BC25">
      <w:pPr>
        <w:pStyle w:val="Odlomakpopisa"/>
        <w:widowControl w:val="false"/>
        <w:numPr>
          <w:ilvl w:val="1"/>
          <w:numId w:val="4"/>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raskinuti ugovor ako za to postoje ugovoreni ili zakonski razlozi. </w:t>
      </w:r>
    </w:p>
    <w:p w14:paraId="23C2BD7F">
      <w:pPr>
        <w:pStyle w:val="Odlomakpopisa"/>
        <w:widowControl w:val="false"/>
        <w:spacing w:after="0" w:line="240" w:lineRule="auto"/>
        <w:ind w:left="1441" w:right="57"/>
        <w:jc w:val="both"/>
        <w:rPr>
          <w:rFonts w:cs="Times New Roman"/>
          <w:sz w:val="24"/>
          <w:szCs w:val="24"/>
          <w:lang w:val="hr-HR"/>
        </w:rPr>
      </w:pPr>
    </w:p>
    <w:p w14:paraId="00EC73C1">
      <w:pPr>
        <w:pStyle w:val="Odlomakpopisa"/>
        <w:widowControl w:val="false"/>
        <w:spacing w:after="0" w:line="240" w:lineRule="auto"/>
        <w:ind w:left="1441" w:right="57"/>
        <w:jc w:val="both"/>
        <w:rPr>
          <w:rFonts w:cs="Times New Roman"/>
          <w:sz w:val="24"/>
          <w:szCs w:val="24"/>
          <w:lang w:val="hr-HR"/>
        </w:rPr>
      </w:pPr>
    </w:p>
    <w:p w14:paraId="0A215296">
      <w:pPr>
        <w:widowControl w:val="false"/>
        <w:spacing w:after="0" w:line="240" w:lineRule="auto"/>
        <w:ind w:left="1" w:right="57"/>
        <w:rPr>
          <w:rFonts w:cs="Times New Roman"/>
          <w:sz w:val="24"/>
          <w:szCs w:val="24"/>
          <w:lang w:val="hr-HR"/>
        </w:rPr>
      </w:pPr>
      <w:r>
        <w:rPr>
          <w:rFonts w:eastAsia="Times New Roman" w:cs="Times New Roman"/>
          <w:b/>
          <w:color w:val="000000"/>
          <w:sz w:val="24"/>
          <w:szCs w:val="24"/>
          <w:lang w:val="hr-HR"/>
        </w:rPr>
        <w:t xml:space="preserve">V. PLAN NABAVE I REGISTAR UGOVORA </w:t>
      </w:r>
    </w:p>
    <w:p w14:paraId="3B6A030F">
      <w:pPr>
        <w:widowControl w:val="false"/>
        <w:spacing w:after="0" w:line="240" w:lineRule="auto"/>
        <w:ind w:left="3407" w:right="57"/>
        <w:rPr>
          <w:rFonts w:cs="Times New Roman"/>
          <w:sz w:val="24"/>
          <w:szCs w:val="24"/>
          <w:lang w:val="hr-HR"/>
        </w:rPr>
      </w:pPr>
      <w:r>
        <w:rPr>
          <w:rFonts w:eastAsia="Times New Roman" w:cs="Times New Roman"/>
          <w:b/>
          <w:color w:val="000000"/>
          <w:sz w:val="24"/>
          <w:szCs w:val="24"/>
          <w:lang w:val="hr-HR"/>
        </w:rPr>
        <w:t xml:space="preserve">Plan nabave i registar ugovora </w:t>
      </w:r>
    </w:p>
    <w:p w14:paraId="6D042F20">
      <w:pPr>
        <w:widowControl w:val="false"/>
        <w:spacing w:after="0" w:line="240" w:lineRule="auto"/>
        <w:ind w:left="4324" w:right="57"/>
        <w:rPr>
          <w:rFonts w:cs="Times New Roman"/>
          <w:sz w:val="24"/>
          <w:szCs w:val="24"/>
          <w:lang w:val="hr-HR"/>
        </w:rPr>
      </w:pPr>
      <w:r>
        <w:rPr>
          <w:rFonts w:eastAsia="Times New Roman" w:cs="Times New Roman"/>
          <w:b/>
          <w:color w:val="000000"/>
          <w:sz w:val="24"/>
          <w:szCs w:val="24"/>
          <w:lang w:val="hr-HR"/>
        </w:rPr>
        <w:t xml:space="preserve">Članak 24. </w:t>
      </w:r>
    </w:p>
    <w:p w14:paraId="5490CA85">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Škola je obvezna donijeti Plan nabave za proračunsku godinu (u daljnjem tekstu: Plan) te ga ažurirati po potrebi. </w:t>
      </w:r>
    </w:p>
    <w:p w14:paraId="51B63FBC">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Plan te njegove izmjene i dopune donosi čelnik ustanove. </w:t>
      </w:r>
    </w:p>
    <w:p w14:paraId="57B7ECF5">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Tajništvo škole obvezno je ažurno voditi registar ugovora o jednostavnoj nabavi, koji je dio registra ugovora o javnoj nabavi iz članka 28. ZJN-i. </w:t>
      </w:r>
    </w:p>
    <w:p w14:paraId="460A4ECB">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Plan i registar ugovora o jednostavnoj nabavi Škola je obvezna objaviti na EOJN RH. </w:t>
      </w:r>
    </w:p>
    <w:p w14:paraId="147D88C8">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U Planu nabave i registru ugovora navode se svi predmeti nabave čija je vrijednost jednaka ili veća od 5.000,00 eura bez PDV-a. </w:t>
      </w:r>
    </w:p>
    <w:p w14:paraId="2EF51BA0">
      <w:pPr>
        <w:widowControl w:val="false"/>
        <w:spacing w:after="0" w:line="240" w:lineRule="auto"/>
        <w:ind w:right="57"/>
        <w:jc w:val="both"/>
        <w:rPr>
          <w:rFonts w:cs="Times New Roman"/>
          <w:sz w:val="24"/>
          <w:szCs w:val="24"/>
          <w:lang w:val="hr-HR"/>
        </w:rPr>
      </w:pPr>
    </w:p>
    <w:p w14:paraId="0C31A118">
      <w:pPr>
        <w:widowControl w:val="false"/>
        <w:spacing w:after="0" w:line="240" w:lineRule="auto"/>
        <w:ind w:left="1" w:right="57"/>
        <w:rPr>
          <w:rFonts w:cs="Times New Roman"/>
          <w:sz w:val="24"/>
          <w:szCs w:val="24"/>
          <w:lang w:val="hr-HR"/>
        </w:rPr>
      </w:pPr>
      <w:r>
        <w:rPr>
          <w:rFonts w:eastAsia="Times New Roman" w:cs="Times New Roman"/>
          <w:b/>
          <w:color w:val="000000"/>
          <w:sz w:val="24"/>
          <w:szCs w:val="24"/>
          <w:lang w:val="hr-HR"/>
        </w:rPr>
        <w:t xml:space="preserve">VI. EVIDENCIJA O PONUDITELJIMA </w:t>
      </w:r>
    </w:p>
    <w:p w14:paraId="66FDD2A2">
      <w:pPr>
        <w:widowControl w:val="false"/>
        <w:spacing w:after="0" w:line="240" w:lineRule="auto"/>
        <w:ind w:left="3549" w:right="57"/>
        <w:rPr>
          <w:rFonts w:cs="Times New Roman"/>
          <w:sz w:val="24"/>
          <w:szCs w:val="24"/>
          <w:lang w:val="hr-HR"/>
        </w:rPr>
      </w:pPr>
      <w:r>
        <w:rPr>
          <w:rFonts w:eastAsia="Times New Roman" w:cs="Times New Roman"/>
          <w:b/>
          <w:color w:val="000000"/>
          <w:sz w:val="24"/>
          <w:szCs w:val="24"/>
          <w:lang w:val="hr-HR"/>
        </w:rPr>
        <w:t xml:space="preserve">Evidencija o ponuditeljima</w:t>
      </w:r>
      <w:r>
        <w:rPr>
          <w:rFonts w:eastAsia="Times New Roman" w:cs="Times New Roman"/>
          <w:color w:val="000000"/>
          <w:sz w:val="24"/>
          <w:szCs w:val="24"/>
          <w:lang w:val="hr-HR"/>
        </w:rPr>
        <w:t xml:space="preserve"> </w:t>
      </w:r>
    </w:p>
    <w:p w14:paraId="3286848B">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25.</w:t>
      </w:r>
      <w:r>
        <w:rPr>
          <w:rFonts w:eastAsia="Times New Roman" w:cs="Times New Roman"/>
          <w:color w:val="000000"/>
          <w:sz w:val="24"/>
          <w:szCs w:val="24"/>
          <w:lang w:val="hr-HR"/>
        </w:rPr>
        <w:t xml:space="preserve"> </w:t>
      </w:r>
    </w:p>
    <w:p w14:paraId="6D978D5A">
      <w:pPr>
        <w:widowControl w:val="false"/>
        <w:spacing w:after="0" w:line="240" w:lineRule="auto"/>
        <w:ind w:left="1" w:right="57" w:firstLine="360"/>
        <w:jc w:val="both"/>
        <w:rPr>
          <w:rFonts w:cs="Times New Roman"/>
          <w:sz w:val="24"/>
          <w:szCs w:val="24"/>
          <w:lang w:val="hr-HR"/>
        </w:rPr>
      </w:pPr>
      <w:r>
        <w:rPr>
          <w:rFonts w:eastAsia="Times New Roman" w:cs="Times New Roman"/>
          <w:color w:val="000000"/>
          <w:sz w:val="24"/>
          <w:szCs w:val="24"/>
          <w:lang w:val="hr-HR"/>
        </w:rPr>
        <w:t xml:space="preserve">Tajništvo škole vodi internu evidenciju o gospodarskim subjektima koji su sudjelovali u postupcima jednostavne nabave, koja sadrži osobito: </w:t>
      </w:r>
    </w:p>
    <w:p w14:paraId="6A16B31F">
      <w:pPr>
        <w:pStyle w:val="Odlomakpopisa"/>
        <w:widowControl w:val="false"/>
        <w:numPr>
          <w:ilvl w:val="1"/>
          <w:numId w:val="15"/>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naziv i OIB gospodarskog subjekta, </w:t>
      </w:r>
    </w:p>
    <w:p w14:paraId="03E2AF2A">
      <w:pPr>
        <w:pStyle w:val="Odlomakpopisa"/>
        <w:widowControl w:val="false"/>
        <w:numPr>
          <w:ilvl w:val="1"/>
          <w:numId w:val="15"/>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postupke jednostavne nabave u kojima je gospodarski subjekt sudjelovao, </w:t>
      </w:r>
    </w:p>
    <w:p w14:paraId="2A669E40">
      <w:pPr>
        <w:pStyle w:val="Odlomakpopisa"/>
        <w:widowControl w:val="false"/>
        <w:numPr>
          <w:ilvl w:val="1"/>
          <w:numId w:val="15"/>
        </w:numPr>
        <w:spacing w:after="0" w:line="240" w:lineRule="auto"/>
        <w:ind w:right="57"/>
        <w:jc w:val="both"/>
        <w:rPr>
          <w:rFonts w:cs="Times New Roman"/>
          <w:sz w:val="24"/>
          <w:szCs w:val="24"/>
          <w:lang w:val="hr-HR"/>
        </w:rPr>
      </w:pPr>
      <w:r>
        <w:rPr>
          <w:rFonts w:eastAsia="Times New Roman" w:cs="Times New Roman"/>
          <w:color w:val="000000"/>
          <w:sz w:val="24"/>
          <w:szCs w:val="24"/>
          <w:lang w:val="hr-HR"/>
        </w:rPr>
        <w:t xml:space="preserve">podatke o izvršenju ugovornih obveza, uključujući eventualno utvrđena odstupanja. </w:t>
      </w:r>
    </w:p>
    <w:p w14:paraId="3DD1B55F">
      <w:pPr>
        <w:tabs>
          <w:tab w:val="left" w:pos="1190"/>
        </w:tabs>
        <w:spacing w:after="0" w:line="240" w:lineRule="auto"/>
        <w:rPr>
          <w:rFonts w:eastAsia="Times New Roman" w:cs="Times New Roman"/>
          <w:color w:val="000000"/>
          <w:sz w:val="24"/>
          <w:szCs w:val="24"/>
          <w:lang w:val="hr-HR"/>
        </w:rPr>
      </w:pPr>
      <w:r>
        <w:rPr>
          <w:rFonts w:eastAsia="Times New Roman" w:cs="Times New Roman"/>
          <w:color w:val="000000"/>
          <w:sz w:val="24"/>
          <w:szCs w:val="24"/>
          <w:lang w:val="hr-HR"/>
        </w:rPr>
        <w:tab/>
        <w:t xml:space="preserve"/>
      </w:r>
      <w:r>
        <w:rPr>
          <w:rFonts w:eastAsia="Times New Roman" w:cs="Times New Roman"/>
          <w:color w:val="000000"/>
          <w:sz w:val="24"/>
          <w:szCs w:val="24"/>
          <w:lang w:val="hr-HR"/>
        </w:rPr>
        <w:t xml:space="preserve">Evidencija iz stavka 1. ovoga članka može služiti Naručitelju u svrhu kvalitetnije pripreme budućih postupaka jednostavne nabave, osobito u dijelu istraživanja tržišta i odabira gospodarskih subjekata kojima će se uputiti poziv za dostavu ponuda. </w:t>
      </w:r>
    </w:p>
    <w:p w14:paraId="3127D93A">
      <w:pPr>
        <w:tabs>
          <w:tab w:val="left" w:pos="1190"/>
        </w:tabs>
        <w:spacing w:after="0" w:line="240" w:lineRule="auto"/>
        <w:rPr>
          <w:rFonts w:eastAsia="Times New Roman" w:cs="Times New Roman"/>
          <w:color w:val="000000"/>
          <w:sz w:val="24"/>
          <w:szCs w:val="24"/>
          <w:lang w:val="hr-HR"/>
        </w:rPr>
      </w:pPr>
    </w:p>
    <w:p w14:paraId="60C54622">
      <w:pPr>
        <w:tabs>
          <w:tab w:val="left" w:pos="1190"/>
        </w:tabs>
        <w:spacing w:after="0" w:line="240" w:lineRule="auto"/>
        <w:jc w:val="center"/>
        <w:rPr>
          <w:rFonts w:cs="Times New Roman"/>
          <w:sz w:val="24"/>
          <w:szCs w:val="24"/>
          <w:lang w:val="hr-HR"/>
        </w:rPr>
      </w:pPr>
      <w:r>
        <w:rPr>
          <w:rFonts w:eastAsia="Times New Roman" w:cs="Times New Roman"/>
          <w:b/>
          <w:color w:val="000000"/>
          <w:sz w:val="24"/>
          <w:szCs w:val="24"/>
          <w:lang w:val="hr-HR"/>
        </w:rPr>
        <w:t xml:space="preserve">Čuvanje dokumentacije</w:t>
      </w:r>
    </w:p>
    <w:p w14:paraId="0B206BCF">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26.</w:t>
      </w:r>
      <w:r>
        <w:rPr>
          <w:rFonts w:eastAsia="Times New Roman" w:cs="Times New Roman"/>
          <w:color w:val="000000"/>
          <w:sz w:val="24"/>
          <w:szCs w:val="24"/>
          <w:lang w:val="hr-HR"/>
        </w:rPr>
        <w:t xml:space="preserve"> </w:t>
      </w:r>
    </w:p>
    <w:p w14:paraId="75D4956D">
      <w:pPr>
        <w:widowControl w:val="false"/>
        <w:spacing w:after="0" w:line="240" w:lineRule="auto"/>
        <w:ind w:right="57" w:firstLine="720"/>
        <w:rPr>
          <w:rFonts w:cs="Times New Roman"/>
          <w:sz w:val="24"/>
          <w:szCs w:val="24"/>
          <w:lang w:val="hr-HR"/>
        </w:rPr>
      </w:pPr>
      <w:r>
        <w:rPr>
          <w:rFonts w:eastAsia="Times New Roman" w:cs="Times New Roman"/>
          <w:color w:val="000000"/>
          <w:sz w:val="24"/>
          <w:szCs w:val="24"/>
          <w:lang w:val="hr-HR"/>
        </w:rPr>
        <w:t xml:space="preserve">Tajništvo škole je obvezno čuvati dokumentaciju o svakom provedenom postupku jednostavne nabave sukladno važećim Pravilima za upravljanje dokumentarnim gradivom Škole. </w:t>
      </w:r>
    </w:p>
    <w:p w14:paraId="77755D65">
      <w:pPr>
        <w:widowControl w:val="false"/>
        <w:spacing w:after="0" w:line="240" w:lineRule="auto"/>
        <w:ind w:right="57"/>
        <w:rPr>
          <w:rFonts w:eastAsia="Times New Roman" w:cs="Times New Roman"/>
          <w:b/>
          <w:color w:val="000000"/>
          <w:sz w:val="24"/>
          <w:szCs w:val="24"/>
          <w:lang w:val="hr-HR"/>
        </w:rPr>
      </w:pPr>
    </w:p>
    <w:p w14:paraId="6C8CF3FC">
      <w:pPr>
        <w:widowControl w:val="false"/>
        <w:spacing w:after="0" w:line="240" w:lineRule="auto"/>
        <w:ind w:left="1" w:right="57"/>
        <w:rPr>
          <w:rFonts w:cs="Times New Roman"/>
          <w:sz w:val="24"/>
          <w:szCs w:val="24"/>
          <w:lang w:val="hr-HR"/>
        </w:rPr>
      </w:pPr>
      <w:r>
        <w:rPr>
          <w:rFonts w:eastAsia="Times New Roman" w:cs="Times New Roman"/>
          <w:b/>
          <w:color w:val="000000"/>
          <w:sz w:val="24"/>
          <w:szCs w:val="24"/>
          <w:lang w:val="hr-HR"/>
        </w:rPr>
        <w:t xml:space="preserve">VII. PRIJELAZNE I ZAVRŠNE ODREDBE </w:t>
      </w:r>
    </w:p>
    <w:p w14:paraId="7678F3F8">
      <w:pPr>
        <w:widowControl w:val="false"/>
        <w:spacing w:after="0" w:line="240" w:lineRule="auto"/>
        <w:ind w:left="3429" w:right="57"/>
        <w:rPr>
          <w:rFonts w:cs="Times New Roman"/>
          <w:sz w:val="24"/>
          <w:szCs w:val="24"/>
          <w:lang w:val="hr-HR"/>
        </w:rPr>
      </w:pPr>
      <w:r>
        <w:rPr>
          <w:rFonts w:eastAsia="Times New Roman" w:cs="Times New Roman"/>
          <w:b/>
          <w:color w:val="000000"/>
          <w:sz w:val="24"/>
          <w:szCs w:val="24"/>
          <w:lang w:val="hr-HR"/>
        </w:rPr>
        <w:t xml:space="preserve">Stupanje na snagu Pravilnika </w:t>
      </w:r>
    </w:p>
    <w:p w14:paraId="193460D1">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27. </w:t>
      </w:r>
    </w:p>
    <w:p w14:paraId="0972DED0">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Stupanjem na snagu ovog Pravilnika prestaju važiti odredbe Pravilnika o jednostavnoj nabavi od </w:t>
      </w:r>
      <w:r>
        <w:rPr>
          <w:rFonts w:eastAsia="Times New Roman" w:cs="Times New Roman"/>
          <w:color w:val="000000"/>
          <w:sz w:val="24"/>
          <w:szCs w:val="24"/>
          <w:lang w:val="hr-HR"/>
        </w:rPr>
        <w:t xml:space="preserve">07.04.2024</w:t>
      </w:r>
      <w:r>
        <w:rPr>
          <w:rFonts w:eastAsia="Times New Roman" w:cs="Times New Roman"/>
          <w:color w:val="000000"/>
          <w:sz w:val="24"/>
          <w:szCs w:val="24"/>
          <w:lang w:val="hr-HR"/>
        </w:rPr>
        <w:t xml:space="preserve">.</w:t>
      </w:r>
    </w:p>
    <w:p w14:paraId="16DA7D79">
      <w:pPr>
        <w:widowControl w:val="false"/>
        <w:spacing w:after="0" w:line="240" w:lineRule="auto"/>
        <w:ind w:right="57" w:firstLine="720"/>
        <w:jc w:val="both"/>
        <w:rPr>
          <w:rFonts w:eastAsia="Times New Roman" w:cs="Times New Roman"/>
          <w:color w:val="000000"/>
          <w:sz w:val="24"/>
          <w:szCs w:val="24"/>
          <w:lang w:val="hr-HR"/>
        </w:rPr>
      </w:pPr>
      <w:r>
        <w:rPr>
          <w:rFonts w:eastAsia="Times New Roman" w:cs="Times New Roman"/>
          <w:color w:val="000000"/>
          <w:sz w:val="24"/>
          <w:szCs w:val="24"/>
          <w:lang w:val="hr-HR"/>
        </w:rPr>
        <w:t xml:space="preserve">Postupci jednostavne nabave pokrenuti do stupanja na snagu ovog Pravilnika dovršit će se prema odredbama Pravilnika koji je bio na snazi u trenutku započinjanja postupka nabave.  </w:t>
      </w:r>
    </w:p>
    <w:p w14:paraId="570C4F5E">
      <w:pPr>
        <w:widowControl w:val="false"/>
        <w:spacing w:after="0" w:line="240" w:lineRule="auto"/>
        <w:ind w:right="57" w:firstLine="720"/>
        <w:rPr>
          <w:rFonts w:cs="Times New Roman"/>
          <w:sz w:val="24"/>
          <w:szCs w:val="24"/>
          <w:lang w:val="hr-HR"/>
        </w:rPr>
      </w:pPr>
    </w:p>
    <w:p w14:paraId="0E4D9CC6">
      <w:pPr>
        <w:widowControl w:val="false"/>
        <w:spacing w:after="0" w:line="240" w:lineRule="auto"/>
        <w:ind w:left="4312" w:right="57"/>
        <w:rPr>
          <w:rFonts w:cs="Times New Roman"/>
          <w:sz w:val="24"/>
          <w:szCs w:val="24"/>
          <w:lang w:val="hr-HR"/>
        </w:rPr>
      </w:pPr>
      <w:r>
        <w:rPr>
          <w:rFonts w:eastAsia="Times New Roman" w:cs="Times New Roman"/>
          <w:b/>
          <w:color w:val="000000"/>
          <w:sz w:val="24"/>
          <w:szCs w:val="24"/>
          <w:lang w:val="hr-HR"/>
        </w:rPr>
        <w:t xml:space="preserve">Članak 28. </w:t>
      </w:r>
    </w:p>
    <w:p w14:paraId="52840051">
      <w:pPr>
        <w:widowControl w:val="false"/>
        <w:spacing w:after="0" w:line="240" w:lineRule="auto"/>
        <w:ind w:right="57" w:firstLine="720"/>
        <w:jc w:val="both"/>
        <w:rPr>
          <w:rFonts w:cs="Times New Roman"/>
          <w:sz w:val="24"/>
          <w:szCs w:val="24"/>
          <w:lang w:val="hr-HR"/>
        </w:rPr>
      </w:pPr>
      <w:r>
        <w:rPr>
          <w:rFonts w:eastAsia="Times New Roman" w:cs="Times New Roman"/>
          <w:color w:val="000000"/>
          <w:sz w:val="24"/>
          <w:szCs w:val="24"/>
          <w:lang w:val="hr-HR"/>
        </w:rPr>
        <w:t xml:space="preserve">Ovaj Pravilnik  objavit će se na internetskim stranicama naručitelja te stupa na snagu osmog dana od objave, a primjenjuje se od 1. rujna 2026. godine. </w:t>
      </w:r>
    </w:p>
    <w:p w14:paraId="2D0CF998">
      <w:pPr>
        <w:widowControl w:val="false"/>
        <w:spacing w:after="0" w:line="240" w:lineRule="auto"/>
        <w:ind w:left="6804" w:right="57" w:hanging="341"/>
        <w:jc w:val="right"/>
        <w:rPr>
          <w:rFonts w:eastAsia="Times New Roman" w:cs="Times New Roman"/>
          <w:b/>
          <w:color w:val="000000"/>
          <w:sz w:val="24"/>
          <w:szCs w:val="24"/>
          <w:lang w:val="hr-HR"/>
        </w:rPr>
      </w:pPr>
    </w:p>
    <w:p w14:paraId="65D011B6">
      <w:pPr>
        <w:widowControl w:val="false"/>
        <w:spacing w:after="0" w:line="240" w:lineRule="auto"/>
        <w:ind w:left="6804" w:right="57" w:hanging="341"/>
        <w:jc w:val="right"/>
        <w:rPr>
          <w:rFonts w:eastAsia="Times New Roman" w:cs="Times New Roman"/>
          <w:b/>
          <w:color w:val="000000"/>
          <w:sz w:val="24"/>
          <w:szCs w:val="24"/>
          <w:lang w:val="hr-HR"/>
        </w:rPr>
      </w:pPr>
    </w:p>
    <w:p w14:paraId="7A44569E">
      <w:pPr>
        <w:pStyle w:val="Default"/>
        <w:spacing/>
        <w:jc w:val="both"/>
        <w:rPr>
          <w:color w:val="auto"/>
        </w:rPr>
      </w:pPr>
      <w:r>
        <w:rPr>
          <w:color w:val="auto"/>
        </w:rPr>
        <w:tab/>
        <w:t xml:space="preserve"/>
      </w:r>
      <w:r>
        <w:rPr>
          <w:color w:val="auto"/>
        </w:rPr>
        <w:t xml:space="preserve">   </w:t>
      </w:r>
      <w:r>
        <w:rPr>
          <w:color w:val="auto"/>
        </w:rPr>
        <w:tab/>
        <w:t xml:space="preserve"/>
      </w:r>
      <w:r>
        <w:rPr>
          <w:color w:val="auto"/>
        </w:rPr>
        <w:tab/>
        <w:t xml:space="preserve"/>
      </w:r>
      <w:r>
        <w:rPr>
          <w:color w:val="auto"/>
        </w:rPr>
        <w:tab/>
        <w:t xml:space="preserve"/>
      </w:r>
      <w:r>
        <w:rPr>
          <w:color w:val="auto"/>
        </w:rPr>
        <w:tab/>
        <w:t xml:space="preserve"/>
      </w:r>
      <w:r>
        <w:rPr>
          <w:color w:val="auto"/>
        </w:rPr>
        <w:t xml:space="preserve">       </w:t>
      </w:r>
      <w:r>
        <w:rPr>
          <w:color w:val="auto"/>
        </w:rPr>
        <w:t xml:space="preserve">          </w:t>
      </w:r>
      <w:r>
        <w:rPr>
          <w:color w:val="auto"/>
        </w:rPr>
        <w:t xml:space="preserve">  PREDSJEDNICA ŠKOLSKOG ODBORA</w:t>
      </w:r>
    </w:p>
    <w:p w14:paraId="2ABBF3FF">
      <w:pPr>
        <w:pStyle w:val="Default"/>
        <w:spacing/>
        <w:jc w:val="both"/>
        <w:rPr>
          <w:color w:val="auto"/>
        </w:rPr>
      </w:pPr>
    </w:p>
    <w:p w14:paraId="078C3636">
      <w:pPr>
        <w:pStyle w:val="Default"/>
        <w:spacing/>
        <w:ind w:left="4320"/>
        <w:jc w:val="center"/>
        <w:rPr>
          <w:color w:val="auto"/>
        </w:rPr>
      </w:pPr>
      <w:r>
        <w:rPr>
          <w:color w:val="auto"/>
        </w:rPr>
        <w:t xml:space="preserve">__________________________</w:t>
      </w:r>
    </w:p>
    <w:p w14:paraId="29086E6A">
      <w:pPr>
        <w:spacing w:line="240" w:lineRule="auto"/>
        <w:rPr>
          <w:rFonts w:cs="Times New Roman"/>
          <w:sz w:val="24"/>
        </w:rPr>
      </w:pPr>
      <w:r>
        <w:rPr>
          <w:rFonts w:cs="Times New Roman"/>
          <w:sz w:val="24"/>
        </w:rPr>
        <w:tab/>
        <w:t xml:space="preserve"/>
      </w:r>
      <w:r>
        <w:rPr>
          <w:rFonts w:cs="Times New Roman"/>
          <w:sz w:val="24"/>
        </w:rPr>
        <w:tab/>
        <w:t xml:space="preserve"/>
      </w:r>
      <w:r>
        <w:rPr>
          <w:rFonts w:cs="Times New Roman"/>
          <w:sz w:val="24"/>
        </w:rPr>
        <w:tab/>
        <w:t xml:space="preserve"/>
      </w:r>
      <w:r>
        <w:rPr>
          <w:rFonts w:cs="Times New Roman"/>
          <w:sz w:val="24"/>
        </w:rPr>
        <w:tab/>
        <w:t xml:space="preserve"/>
      </w:r>
      <w:r>
        <w:rPr>
          <w:rFonts w:cs="Times New Roman"/>
          <w:sz w:val="24"/>
        </w:rPr>
        <w:tab/>
        <w:t xml:space="preserve"/>
      </w:r>
      <w:r>
        <w:rPr>
          <w:rFonts w:cs="Times New Roman"/>
          <w:sz w:val="24"/>
        </w:rPr>
        <w:tab/>
        <w:t xml:space="preserve"/>
      </w:r>
      <w:r>
        <w:rPr>
          <w:rFonts w:cs="Times New Roman"/>
          <w:sz w:val="24"/>
        </w:rPr>
        <w:tab/>
        <w:t xml:space="preserve"/>
      </w:r>
      <w:r>
        <w:rPr>
          <w:rFonts w:cs="Times New Roman"/>
          <w:sz w:val="24"/>
        </w:rPr>
        <w:tab/>
        <w:t xml:space="preserve"/>
      </w:r>
    </w:p>
    <w:p w14:paraId="4380A635">
      <w:pPr>
        <w:spacing w:line="240" w:lineRule="auto"/>
        <w:rPr>
          <w:rFonts w:cs="Times New Roman"/>
          <w:sz w:val="24"/>
          <w:szCs w:val="24"/>
        </w:rPr>
      </w:pPr>
    </w:p>
    <w:p w14:paraId="397526F5">
      <w:pPr>
        <w:spacing w:line="240" w:lineRule="auto"/>
        <w:ind w:firstLine="708"/>
        <w:rPr>
          <w:rFonts w:cs="Times New Roman"/>
          <w:sz w:val="24"/>
          <w:szCs w:val="24"/>
        </w:rPr>
      </w:pPr>
      <w:r>
        <w:rPr>
          <w:rFonts w:cs="Times New Roman"/>
          <w:sz w:val="24"/>
          <w:szCs w:val="24"/>
        </w:rPr>
        <w:t xml:space="preserve">Ovaj</w:t>
      </w:r>
      <w:r>
        <w:rPr>
          <w:rFonts w:cs="Times New Roman"/>
          <w:sz w:val="24"/>
          <w:szCs w:val="24"/>
        </w:rPr>
        <w:t xml:space="preserve"> </w:t>
      </w:r>
      <w:r>
        <w:rPr>
          <w:rFonts w:cs="Times New Roman"/>
          <w:sz w:val="24"/>
          <w:szCs w:val="24"/>
        </w:rPr>
        <w:t xml:space="preserve">Pravilnik</w:t>
      </w:r>
      <w:r>
        <w:rPr>
          <w:rFonts w:cs="Times New Roman"/>
          <w:sz w:val="24"/>
          <w:szCs w:val="24"/>
        </w:rPr>
        <w:t xml:space="preserve">  </w:t>
      </w:r>
      <w:r>
        <w:rPr>
          <w:rFonts w:cs="Times New Roman"/>
          <w:sz w:val="24"/>
          <w:szCs w:val="24"/>
        </w:rPr>
        <w:t xml:space="preserve">stupio</w:t>
      </w:r>
      <w:r>
        <w:rPr>
          <w:rFonts w:cs="Times New Roman"/>
          <w:sz w:val="24"/>
          <w:szCs w:val="24"/>
        </w:rPr>
        <w:t xml:space="preserve"> je </w:t>
      </w:r>
      <w:r>
        <w:rPr>
          <w:rFonts w:cs="Times New Roman"/>
          <w:sz w:val="24"/>
          <w:szCs w:val="24"/>
        </w:rPr>
        <w:t xml:space="preserve">na</w:t>
      </w:r>
      <w:r>
        <w:rPr>
          <w:rFonts w:cs="Times New Roman"/>
          <w:sz w:val="24"/>
          <w:szCs w:val="24"/>
        </w:rPr>
        <w:t xml:space="preserve"> </w:t>
      </w:r>
      <w:r>
        <w:rPr>
          <w:rFonts w:cs="Times New Roman"/>
          <w:sz w:val="24"/>
          <w:szCs w:val="24"/>
        </w:rPr>
        <w:t xml:space="preserve">snagu</w:t>
      </w:r>
      <w:r>
        <w:rPr>
          <w:rFonts w:cs="Times New Roman"/>
          <w:sz w:val="24"/>
          <w:szCs w:val="24"/>
        </w:rPr>
        <w:t xml:space="preserve"> dana</w:t>
      </w:r>
      <w:r>
        <w:rPr>
          <w:rFonts w:cs="Times New Roman"/>
          <w:sz w:val="24"/>
          <w:szCs w:val="24"/>
        </w:rPr>
        <w:t xml:space="preserve"> 01.09.</w:t>
      </w:r>
      <w:r>
        <w:rPr>
          <w:rFonts w:cs="Times New Roman"/>
          <w:sz w:val="24"/>
          <w:szCs w:val="24"/>
        </w:rPr>
        <w:t xml:space="preserve">2026.</w:t>
      </w:r>
    </w:p>
    <w:p w14:paraId="5E644777">
      <w:pPr>
        <w:spacing w:line="240" w:lineRule="auto"/>
        <w:rPr>
          <w:rFonts w:cs="Times New Roman"/>
          <w:sz w:val="24"/>
          <w:szCs w:val="24"/>
        </w:rPr>
      </w:pPr>
    </w:p>
    <w:p w14:paraId="48167E7D">
      <w:pPr>
        <w:pStyle w:val="Default"/>
        <w:spacing/>
        <w:jc w:val="both"/>
        <w:rPr>
          <w:color w:val="auto"/>
        </w:rPr>
      </w:pP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 xml:space="preserve">       </w:t>
      </w:r>
      <w:r>
        <w:rPr>
          <w:color w:val="auto"/>
        </w:rPr>
        <w:t xml:space="preserve">              </w:t>
      </w:r>
      <w:r>
        <w:rPr>
          <w:color w:val="auto"/>
        </w:rPr>
        <w:t xml:space="preserve"> RAVNATELJICA</w:t>
      </w:r>
    </w:p>
    <w:p w14:paraId="21FF6E95">
      <w:pPr>
        <w:pStyle w:val="Default"/>
        <w:spacing/>
        <w:jc w:val="right"/>
        <w:rPr>
          <w:color w:val="auto"/>
        </w:rPr>
      </w:pP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 xml:space="preserve">     </w:t>
      </w: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ab/>
        <w:t xml:space="preserve"/>
      </w:r>
      <w:r>
        <w:rPr>
          <w:color w:val="auto"/>
        </w:rPr>
        <w:t xml:space="preserve">                      </w:t>
      </w:r>
      <w:r>
        <w:rPr>
          <w:color w:val="auto"/>
        </w:rPr>
        <w:tab/>
        <w:t xml:space="preserve"/>
      </w:r>
      <w:r>
        <w:rPr>
          <w:color w:val="auto"/>
        </w:rPr>
        <w:tab/>
        <w:t xml:space="preserve"/>
      </w:r>
      <w:r>
        <w:rPr>
          <w:color w:val="auto"/>
        </w:rPr>
        <w:t xml:space="preserve">  ________________________</w:t>
      </w:r>
    </w:p>
    <w:p w14:paraId="466AC4E1">
      <w:pPr>
        <w:spacing/>
        <w:rPr/>
      </w:pPr>
    </w:p>
    <w:sectPr>
      <w:type w:val="nextPage"/>
      <w:pgSz w:w="11906" w:h="16838"/>
      <w:pgMar w:top="1417" w:right="1417" w:bottom="1417" w:left="1417" w:header="708" w:footer="708"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
    <w:family w:val="roman"/>
    <w:pitch w:val="variable"/>
    <w:sig w:usb0="E0002AFF" w:usb1="C0007843" w:usb2="00000009" w:usb3="00000000" w:csb0="000001FF" w:csb1="00000000"/>
  </w:font>
  <w:font w:name="Arial">
    <w:charset w:val="0"/>
    <w:family w:val="swiss"/>
    <w:pitch w:val="variable"/>
    <w:sig w:usb0="E0002AFF" w:usb1="C0007843" w:usb2="00000009" w:usb3="00000000" w:csb0="000001FF" w:csb1="00000000"/>
  </w:font>
  <w:font w:name="Symbol">
    <w:charset w:val="2"/>
    <w:family w:val="roman"/>
    <w:pitch w:val="variable"/>
    <w:sig w:usb0="00000000" w:usb1="10000000" w:usb2="00000000" w:usb3="00000000" w:csb0="80000000" w:csb1="00000000"/>
  </w:font>
  <w:font w:name="Wingdings">
    <w:charset w:val="2"/>
    <w:family w:val="auto"/>
    <w:pitch w:val="variable"/>
    <w:sig w:usb0="00000000" w:usb1="10000000" w:usb2="00000000" w:usb3="00000000" w:csb0="80000000" w:csb1="00000000"/>
  </w:font>
  <w:font w:name="Courier New">
    <w:charset w:val="238"/>
    <w:family w:val="modern"/>
    <w:pitch w:val="fixed"/>
    <w:sig w:usb0="E0002EFF" w:usb1="C0007843" w:usb2="00000009" w:usb3="00000000" w:csb0="000001FF" w:csb1="00000000"/>
  </w:font>
  <w:font w:name="Calibri">
    <w:charset w:val="0"/>
    <w:family w:val="swiss"/>
    <w:pitch w:val="variable"/>
    <w:sig w:usb0="E0002AFF" w:usb1="4000ACFF" w:usb2="00000001" w:usb3="00000000" w:csb0="000001FF" w:csb1="00000000"/>
  </w:font>
  <w:font w:name="Calibri Light">
    <w:charset w:val="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87A77"/>
    <w:lvl w:ilvl="0">
      <w:start w:val="1"/>
      <w:numFmt w:val="lowerLetter"/>
      <w:suff w:val="tab"/>
      <w:lvlText w:val="%1)"/>
      <w:pPr>
        <w:spacing/>
        <w:ind w:left="720" w:hanging="360"/>
      </w:pPr>
      <w:rPr/>
    </w:lvl>
    <w:lvl w:ilvl="1">
      <w:start w:val="1"/>
      <w:numFmt w:val="lowerLetter"/>
      <w:suff w:val="tab"/>
      <w:lvlText w:val="%2."/>
      <w:pPr>
        <w:spacing/>
        <w:ind w:left="1440" w:hanging="360"/>
      </w:pPr>
      <w:rPr/>
    </w:lvl>
    <w:lvl w:ilvl="2">
      <w:start w:val="1"/>
      <w:numFmt w:val="decimal"/>
      <w:suff w:val="tab"/>
      <w:lvlText w:val="%3."/>
      <w:pPr>
        <w:spacing/>
        <w:ind w:left="2340" w:hanging="360"/>
      </w:pPr>
      <w:rPr>
        <w:rFonts w:eastAsia="Times New Roman" w:cs="Times New Roman" w:hint="default"/>
        <w:color w:val="000000"/>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1">
    <w:nsid w:val="0605118F"/>
    <w:lvl w:ilvl="0">
      <w:start w:val="1"/>
      <w:numFmt w:val="lowerLetter"/>
      <w:suff w:val="tab"/>
      <w:lvlText w:val="%1)"/>
      <w:pPr>
        <w:spacing/>
        <w:ind w:left="1429" w:hanging="360"/>
      </w:pPr>
      <w:rPr/>
    </w:lvl>
    <w:lvl w:ilvl="1">
      <w:start w:val="1"/>
      <w:numFmt w:val="lowerLetter"/>
      <w:suff w:val="tab"/>
      <w:lvlText w:val="%2."/>
      <w:pPr>
        <w:spacing/>
        <w:ind w:left="2149" w:hanging="360"/>
      </w:pPr>
      <w:rPr/>
    </w:lvl>
    <w:lvl w:ilvl="2">
      <w:start w:val="1"/>
      <w:numFmt w:val="lowerRoman"/>
      <w:suff w:val="tab"/>
      <w:lvlText w:val="%3."/>
      <w:lvlJc w:val="right"/>
      <w:pPr>
        <w:spacing/>
        <w:ind w:left="2869" w:hanging="180"/>
      </w:pPr>
      <w:rPr/>
    </w:lvl>
    <w:lvl w:ilvl="3">
      <w:start w:val="1"/>
      <w:numFmt w:val="decimal"/>
      <w:suff w:val="tab"/>
      <w:lvlText w:val="%4."/>
      <w:pPr>
        <w:spacing/>
        <w:ind w:left="3589" w:hanging="360"/>
      </w:pPr>
      <w:rPr/>
    </w:lvl>
    <w:lvl w:ilvl="4">
      <w:start w:val="1"/>
      <w:numFmt w:val="lowerLetter"/>
      <w:suff w:val="tab"/>
      <w:lvlText w:val="%5."/>
      <w:pPr>
        <w:spacing/>
        <w:ind w:left="4309" w:hanging="360"/>
      </w:pPr>
      <w:rPr/>
    </w:lvl>
    <w:lvl w:ilvl="5">
      <w:start w:val="1"/>
      <w:numFmt w:val="lowerRoman"/>
      <w:suff w:val="tab"/>
      <w:lvlText w:val="%6."/>
      <w:lvlJc w:val="right"/>
      <w:pPr>
        <w:spacing/>
        <w:ind w:left="5029" w:hanging="180"/>
      </w:pPr>
      <w:rPr/>
    </w:lvl>
    <w:lvl w:ilvl="6">
      <w:start w:val="1"/>
      <w:numFmt w:val="decimal"/>
      <w:suff w:val="tab"/>
      <w:lvlText w:val="%7."/>
      <w:pPr>
        <w:spacing/>
        <w:ind w:left="5749" w:hanging="360"/>
      </w:pPr>
      <w:rPr/>
    </w:lvl>
    <w:lvl w:ilvl="7">
      <w:start w:val="1"/>
      <w:numFmt w:val="lowerLetter"/>
      <w:suff w:val="tab"/>
      <w:lvlText w:val="%8."/>
      <w:pPr>
        <w:spacing/>
        <w:ind w:left="6469" w:hanging="360"/>
      </w:pPr>
      <w:rPr/>
    </w:lvl>
    <w:lvl w:ilvl="8">
      <w:start w:val="1"/>
      <w:numFmt w:val="lowerRoman"/>
      <w:suff w:val="tab"/>
      <w:lvlText w:val="%9."/>
      <w:lvlJc w:val="right"/>
      <w:pPr>
        <w:spacing/>
        <w:ind w:left="7189" w:hanging="180"/>
      </w:pPr>
      <w:rPr/>
    </w:lvl>
  </w:abstractNum>
  <w:abstractNum w:abstractNumId="2">
    <w:nsid w:val="07B43589"/>
    <w:lvl w:ilvl="0">
      <w:start w:val="1"/>
      <w:numFmt w:val="decimal"/>
      <w:suff w:val="tab"/>
      <w:lvlText w:val="%1."/>
      <w:pPr>
        <w:spacing/>
        <w:ind w:left="721" w:hanging="360"/>
      </w:pPr>
      <w:rPr>
        <w:rFonts w:eastAsia="Times New Roman" w:cs="Times New Roman" w:hint="default"/>
        <w:color w:val="000000"/>
      </w:rPr>
    </w:lvl>
    <w:lvl w:ilvl="1">
      <w:start w:val="1"/>
      <w:numFmt w:val="lowerLetter"/>
      <w:suff w:val="tab"/>
      <w:lvlText w:val="%2."/>
      <w:pPr>
        <w:spacing/>
        <w:ind w:left="1441" w:hanging="360"/>
      </w:pPr>
      <w:rPr/>
    </w:lvl>
    <w:lvl w:ilvl="2">
      <w:start w:val="1"/>
      <w:numFmt w:val="lowerRoman"/>
      <w:suff w:val="tab"/>
      <w:lvlText w:val="%3."/>
      <w:lvlJc w:val="right"/>
      <w:pPr>
        <w:spacing/>
        <w:ind w:left="2161" w:hanging="180"/>
      </w:pPr>
      <w:rPr/>
    </w:lvl>
    <w:lvl w:ilvl="3">
      <w:start w:val="1"/>
      <w:numFmt w:val="decimal"/>
      <w:suff w:val="tab"/>
      <w:lvlText w:val="%4."/>
      <w:pPr>
        <w:spacing/>
        <w:ind w:left="2881" w:hanging="360"/>
      </w:pPr>
      <w:rPr/>
    </w:lvl>
    <w:lvl w:ilvl="4">
      <w:start w:val="1"/>
      <w:numFmt w:val="lowerLetter"/>
      <w:suff w:val="tab"/>
      <w:lvlText w:val="%5."/>
      <w:pPr>
        <w:spacing/>
        <w:ind w:left="3601" w:hanging="360"/>
      </w:pPr>
      <w:rPr/>
    </w:lvl>
    <w:lvl w:ilvl="5">
      <w:start w:val="1"/>
      <w:numFmt w:val="lowerRoman"/>
      <w:suff w:val="tab"/>
      <w:lvlText w:val="%6."/>
      <w:lvlJc w:val="right"/>
      <w:pPr>
        <w:spacing/>
        <w:ind w:left="4321" w:hanging="180"/>
      </w:pPr>
      <w:rPr/>
    </w:lvl>
    <w:lvl w:ilvl="6">
      <w:start w:val="1"/>
      <w:numFmt w:val="decimal"/>
      <w:suff w:val="tab"/>
      <w:lvlText w:val="%7."/>
      <w:pPr>
        <w:spacing/>
        <w:ind w:left="5041" w:hanging="360"/>
      </w:pPr>
      <w:rPr/>
    </w:lvl>
    <w:lvl w:ilvl="7">
      <w:start w:val="1"/>
      <w:numFmt w:val="lowerLetter"/>
      <w:suff w:val="tab"/>
      <w:lvlText w:val="%8."/>
      <w:pPr>
        <w:spacing/>
        <w:ind w:left="5761" w:hanging="360"/>
      </w:pPr>
      <w:rPr/>
    </w:lvl>
    <w:lvl w:ilvl="8">
      <w:start w:val="1"/>
      <w:numFmt w:val="lowerRoman"/>
      <w:suff w:val="tab"/>
      <w:lvlText w:val="%9."/>
      <w:lvlJc w:val="right"/>
      <w:pPr>
        <w:spacing/>
        <w:ind w:left="6481" w:hanging="180"/>
      </w:pPr>
      <w:rPr/>
    </w:lvl>
  </w:abstractNum>
  <w:abstractNum w:abstractNumId="3">
    <w:nsid w:val="0E557CAA"/>
    <w:lvl w:ilvl="0">
      <w:start w:val="1"/>
      <w:numFmt w:val="decimal"/>
      <w:suff w:val="tab"/>
      <w:lvlText w:val="%1."/>
      <w:pPr>
        <w:spacing/>
        <w:ind w:left="720" w:hanging="360"/>
      </w:pPr>
      <w:rPr/>
    </w:lvl>
    <w:lvl w:ilvl="1">
      <w:start w:val="1"/>
      <w:numFmt w:val="decimal"/>
      <w:suff w:val="tab"/>
      <w:lvlText w:val="%2."/>
      <w:pPr>
        <w:spacing/>
        <w:ind w:left="1441"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4">
    <w:nsid w:val="3F375E5F"/>
    <w:lvl w:ilvl="0">
      <w:start w:val="1"/>
      <w:numFmt w:val="decimal"/>
      <w:suff w:val="tab"/>
      <w:lvlText w:val="%1."/>
      <w:pPr>
        <w:spacing/>
        <w:ind w:left="721" w:hanging="360"/>
      </w:pPr>
      <w:rPr>
        <w:rFonts w:eastAsia="Times New Roman" w:cs="Times New Roman" w:hint="default"/>
        <w:color w:val="000000"/>
      </w:rPr>
    </w:lvl>
    <w:lvl w:ilvl="1">
      <w:start w:val="1"/>
      <w:numFmt w:val="lowerLetter"/>
      <w:suff w:val="tab"/>
      <w:lvlText w:val="%2."/>
      <w:pPr>
        <w:spacing/>
        <w:ind w:left="1441" w:hanging="360"/>
      </w:pPr>
      <w:rPr/>
    </w:lvl>
    <w:lvl w:ilvl="2">
      <w:start w:val="1"/>
      <w:numFmt w:val="lowerRoman"/>
      <w:suff w:val="tab"/>
      <w:lvlText w:val="%3."/>
      <w:lvlJc w:val="right"/>
      <w:pPr>
        <w:spacing/>
        <w:ind w:left="2161" w:hanging="180"/>
      </w:pPr>
      <w:rPr/>
    </w:lvl>
    <w:lvl w:ilvl="3">
      <w:start w:val="1"/>
      <w:numFmt w:val="decimal"/>
      <w:suff w:val="tab"/>
      <w:lvlText w:val="%4."/>
      <w:pPr>
        <w:spacing/>
        <w:ind w:left="2881" w:hanging="360"/>
      </w:pPr>
      <w:rPr/>
    </w:lvl>
    <w:lvl w:ilvl="4">
      <w:start w:val="1"/>
      <w:numFmt w:val="lowerLetter"/>
      <w:suff w:val="tab"/>
      <w:lvlText w:val="%5."/>
      <w:pPr>
        <w:spacing/>
        <w:ind w:left="3601" w:hanging="360"/>
      </w:pPr>
      <w:rPr/>
    </w:lvl>
    <w:lvl w:ilvl="5">
      <w:start w:val="1"/>
      <w:numFmt w:val="lowerRoman"/>
      <w:suff w:val="tab"/>
      <w:lvlText w:val="%6."/>
      <w:lvlJc w:val="right"/>
      <w:pPr>
        <w:spacing/>
        <w:ind w:left="4321" w:hanging="180"/>
      </w:pPr>
      <w:rPr/>
    </w:lvl>
    <w:lvl w:ilvl="6">
      <w:start w:val="1"/>
      <w:numFmt w:val="decimal"/>
      <w:suff w:val="tab"/>
      <w:lvlText w:val="%7."/>
      <w:pPr>
        <w:spacing/>
        <w:ind w:left="5041" w:hanging="360"/>
      </w:pPr>
      <w:rPr/>
    </w:lvl>
    <w:lvl w:ilvl="7">
      <w:start w:val="1"/>
      <w:numFmt w:val="lowerLetter"/>
      <w:suff w:val="tab"/>
      <w:lvlText w:val="%8."/>
      <w:pPr>
        <w:spacing/>
        <w:ind w:left="5761" w:hanging="360"/>
      </w:pPr>
      <w:rPr/>
    </w:lvl>
    <w:lvl w:ilvl="8">
      <w:start w:val="1"/>
      <w:numFmt w:val="lowerRoman"/>
      <w:suff w:val="tab"/>
      <w:lvlText w:val="%9."/>
      <w:lvlJc w:val="right"/>
      <w:pPr>
        <w:spacing/>
        <w:ind w:left="6481" w:hanging="180"/>
      </w:pPr>
      <w:rPr/>
    </w:lvl>
  </w:abstractNum>
  <w:abstractNum w:abstractNumId="5">
    <w:nsid w:val="46241EB1"/>
    <w:lvl w:ilvl="0">
      <w:start w:val="0"/>
      <w:numFmt w:val="bullet"/>
      <w:suff w:val="tab"/>
      <w:lvlText w:val="-"/>
      <w:pPr>
        <w:spacing/>
        <w:ind w:left="1080" w:hanging="360"/>
      </w:pPr>
      <w:rPr>
        <w:rFonts w:ascii="Arial" w:hAnsi="Arial" w:eastAsia="Times New Roman" w:cs="Arial" w:hint="default"/>
        <w:color w:val="000000"/>
      </w:rPr>
    </w:lvl>
    <w:lvl w:ilvl="1">
      <w:start w:val="4"/>
      <w:numFmt w:val="bullet"/>
      <w:suff w:val="tab"/>
      <w:lvlText w:val=""/>
      <w:pPr>
        <w:spacing/>
        <w:ind w:left="1800" w:hanging="360"/>
      </w:pPr>
      <w:rPr>
        <w:rFonts w:ascii="Symbol" w:hAnsi="Symbol" w:eastAsia="Symbol" w:cs="Symbol" w:hint="default"/>
        <w:color w:val="000000"/>
      </w:rPr>
    </w:lvl>
    <w:lvl w:ilvl="2">
      <w:start w:val="1"/>
      <w:numFmt w:val="bullet"/>
      <w:suff w:val="tab"/>
      <w:lvlText w:val=""/>
      <w:pPr>
        <w:spacing/>
        <w:ind w:left="2520" w:hanging="360"/>
      </w:pPr>
      <w:rPr>
        <w:rFonts w:ascii="Wingdings" w:hAnsi="Wingdings" w:hint="default"/>
      </w:rPr>
    </w:lvl>
    <w:lvl w:ilvl="3">
      <w:start w:val="1"/>
      <w:numFmt w:val="bullet"/>
      <w:suff w:val="tab"/>
      <w:lvlText w:val=""/>
      <w:pPr>
        <w:spacing/>
        <w:ind w:left="3240" w:hanging="360"/>
      </w:pPr>
      <w:rPr>
        <w:rFonts w:ascii="Symbol" w:hAnsi="Symbol" w:hint="default"/>
      </w:rPr>
    </w:lvl>
    <w:lvl w:ilvl="4">
      <w:start w:val="1"/>
      <w:numFmt w:val="bullet"/>
      <w:suff w:val="tab"/>
      <w:lvlText w:val="o"/>
      <w:pPr>
        <w:spacing/>
        <w:ind w:left="3960" w:hanging="360"/>
      </w:pPr>
      <w:rPr>
        <w:rFonts w:ascii="Courier New" w:hAnsi="Courier New" w:cs="Courier New" w:hint="default"/>
      </w:rPr>
    </w:lvl>
    <w:lvl w:ilvl="5">
      <w:start w:val="1"/>
      <w:numFmt w:val="bullet"/>
      <w:suff w:val="tab"/>
      <w:lvlText w:val=""/>
      <w:pPr>
        <w:spacing/>
        <w:ind w:left="4680" w:hanging="360"/>
      </w:pPr>
      <w:rPr>
        <w:rFonts w:ascii="Wingdings" w:hAnsi="Wingdings" w:hint="default"/>
      </w:rPr>
    </w:lvl>
    <w:lvl w:ilvl="6">
      <w:start w:val="1"/>
      <w:numFmt w:val="bullet"/>
      <w:suff w:val="tab"/>
      <w:lvlText w:val=""/>
      <w:pPr>
        <w:spacing/>
        <w:ind w:left="5400" w:hanging="360"/>
      </w:pPr>
      <w:rPr>
        <w:rFonts w:ascii="Symbol" w:hAnsi="Symbol" w:hint="default"/>
      </w:rPr>
    </w:lvl>
    <w:lvl w:ilvl="7">
      <w:start w:val="1"/>
      <w:numFmt w:val="bullet"/>
      <w:suff w:val="tab"/>
      <w:lvlText w:val="o"/>
      <w:pPr>
        <w:spacing/>
        <w:ind w:left="6120" w:hanging="360"/>
      </w:pPr>
      <w:rPr>
        <w:rFonts w:ascii="Courier New" w:hAnsi="Courier New" w:cs="Courier New" w:hint="default"/>
      </w:rPr>
    </w:lvl>
    <w:lvl w:ilvl="8">
      <w:start w:val="1"/>
      <w:numFmt w:val="bullet"/>
      <w:suff w:val="tab"/>
      <w:lvlText w:val=""/>
      <w:pPr>
        <w:spacing/>
        <w:ind w:left="6840" w:hanging="360"/>
      </w:pPr>
      <w:rPr>
        <w:rFonts w:ascii="Wingdings" w:hAnsi="Wingdings" w:hint="default"/>
      </w:rPr>
    </w:lvl>
  </w:abstractNum>
  <w:abstractNum w:abstractNumId="6">
    <w:nsid w:val="467B0D11"/>
    <w:lvl w:ilvl="0">
      <w:start w:val="1"/>
      <w:numFmt w:val="decimal"/>
      <w:suff w:val="tab"/>
      <w:lvlText w:val="%1."/>
      <w:pPr>
        <w:spacing/>
        <w:ind w:left="720" w:hanging="360"/>
      </w:pPr>
      <w:rPr>
        <w:rFonts w:eastAsia="Times New Roman" w:cs="Times New Roman" w:hint="default"/>
        <w:color w:val="000000"/>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7">
    <w:nsid w:val="47BA7440"/>
    <w:lvl w:ilvl="0">
      <w:start w:val="1"/>
      <w:numFmt w:val="lowerLetter"/>
      <w:suff w:val="tab"/>
      <w:lvlText w:val="%1)"/>
      <w:pPr>
        <w:spacing/>
        <w:ind w:left="1080" w:hanging="360"/>
      </w:pPr>
      <w:rPr/>
    </w:lvl>
    <w:lvl w:ilvl="1">
      <w:start w:val="1"/>
      <w:numFmt w:val="lowerLetter"/>
      <w:suff w:val="tab"/>
      <w:lvlText w:val="%2."/>
      <w:pPr>
        <w:spacing/>
        <w:ind w:left="1800" w:hanging="360"/>
      </w:pPr>
      <w:rPr/>
    </w:lvl>
    <w:lvl w:ilvl="2">
      <w:start w:val="1"/>
      <w:numFmt w:val="lowerRoman"/>
      <w:suff w:val="tab"/>
      <w:lvlText w:val="%3."/>
      <w:lvlJc w:val="right"/>
      <w:pPr>
        <w:spacing/>
        <w:ind w:left="2520" w:hanging="180"/>
      </w:pPr>
      <w:rPr/>
    </w:lvl>
    <w:lvl w:ilvl="3">
      <w:start w:val="1"/>
      <w:numFmt w:val="decimal"/>
      <w:suff w:val="tab"/>
      <w:lvlText w:val="%4."/>
      <w:pPr>
        <w:spacing/>
        <w:ind w:left="3240" w:hanging="360"/>
      </w:pPr>
      <w:rPr/>
    </w:lvl>
    <w:lvl w:ilvl="4">
      <w:start w:val="1"/>
      <w:numFmt w:val="lowerLetter"/>
      <w:suff w:val="tab"/>
      <w:lvlText w:val="%5."/>
      <w:pPr>
        <w:spacing/>
        <w:ind w:left="3960" w:hanging="360"/>
      </w:pPr>
      <w:rPr/>
    </w:lvl>
    <w:lvl w:ilvl="5">
      <w:start w:val="1"/>
      <w:numFmt w:val="lowerRoman"/>
      <w:suff w:val="tab"/>
      <w:lvlText w:val="%6."/>
      <w:lvlJc w:val="right"/>
      <w:pPr>
        <w:spacing/>
        <w:ind w:left="4680" w:hanging="180"/>
      </w:pPr>
      <w:rPr/>
    </w:lvl>
    <w:lvl w:ilvl="6">
      <w:start w:val="1"/>
      <w:numFmt w:val="decimal"/>
      <w:suff w:val="tab"/>
      <w:lvlText w:val="%7."/>
      <w:pPr>
        <w:spacing/>
        <w:ind w:left="5400" w:hanging="360"/>
      </w:pPr>
      <w:rPr/>
    </w:lvl>
    <w:lvl w:ilvl="7">
      <w:start w:val="1"/>
      <w:numFmt w:val="lowerLetter"/>
      <w:suff w:val="tab"/>
      <w:lvlText w:val="%8."/>
      <w:pPr>
        <w:spacing/>
        <w:ind w:left="6120" w:hanging="360"/>
      </w:pPr>
      <w:rPr/>
    </w:lvl>
    <w:lvl w:ilvl="8">
      <w:start w:val="1"/>
      <w:numFmt w:val="lowerRoman"/>
      <w:suff w:val="tab"/>
      <w:lvlText w:val="%9."/>
      <w:lvlJc w:val="right"/>
      <w:pPr>
        <w:spacing/>
        <w:ind w:left="6840" w:hanging="180"/>
      </w:pPr>
      <w:rPr/>
    </w:lvl>
  </w:abstractNum>
  <w:abstractNum w:abstractNumId="8">
    <w:nsid w:val="4FB819E3"/>
    <w:lvl w:ilvl="0">
      <w:start w:val="1"/>
      <w:numFmt w:val="decimal"/>
      <w:suff w:val="tab"/>
      <w:lvlText w:val="%1."/>
      <w:pPr>
        <w:spacing/>
        <w:ind w:left="1069" w:hanging="360"/>
      </w:pPr>
      <w:rPr>
        <w:rFonts w:eastAsia="Times New Roman" w:cs="Times New Roman" w:hint="default"/>
        <w:color w:val="000000"/>
      </w:rPr>
    </w:lvl>
    <w:lvl w:ilvl="1">
      <w:start w:val="1"/>
      <w:numFmt w:val="lowerLetter"/>
      <w:suff w:val="tab"/>
      <w:lvlText w:val="%2."/>
      <w:pPr>
        <w:spacing/>
        <w:ind w:left="1789" w:hanging="360"/>
      </w:pPr>
      <w:rPr/>
    </w:lvl>
    <w:lvl w:ilvl="2">
      <w:start w:val="1"/>
      <w:numFmt w:val="lowerRoman"/>
      <w:suff w:val="tab"/>
      <w:lvlText w:val="%3."/>
      <w:lvlJc w:val="right"/>
      <w:pPr>
        <w:spacing/>
        <w:ind w:left="2509" w:hanging="180"/>
      </w:pPr>
      <w:rPr/>
    </w:lvl>
    <w:lvl w:ilvl="3">
      <w:start w:val="1"/>
      <w:numFmt w:val="decimal"/>
      <w:suff w:val="tab"/>
      <w:lvlText w:val="%4."/>
      <w:pPr>
        <w:spacing/>
        <w:ind w:left="3229" w:hanging="360"/>
      </w:pPr>
      <w:rPr/>
    </w:lvl>
    <w:lvl w:ilvl="4">
      <w:start w:val="1"/>
      <w:numFmt w:val="lowerLetter"/>
      <w:suff w:val="tab"/>
      <w:lvlText w:val="%5."/>
      <w:pPr>
        <w:spacing/>
        <w:ind w:left="3949" w:hanging="360"/>
      </w:pPr>
      <w:rPr/>
    </w:lvl>
    <w:lvl w:ilvl="5">
      <w:start w:val="1"/>
      <w:numFmt w:val="lowerRoman"/>
      <w:suff w:val="tab"/>
      <w:lvlText w:val="%6."/>
      <w:lvlJc w:val="right"/>
      <w:pPr>
        <w:spacing/>
        <w:ind w:left="4669" w:hanging="180"/>
      </w:pPr>
      <w:rPr/>
    </w:lvl>
    <w:lvl w:ilvl="6">
      <w:start w:val="1"/>
      <w:numFmt w:val="decimal"/>
      <w:suff w:val="tab"/>
      <w:lvlText w:val="%7."/>
      <w:pPr>
        <w:spacing/>
        <w:ind w:left="5389" w:hanging="360"/>
      </w:pPr>
      <w:rPr/>
    </w:lvl>
    <w:lvl w:ilvl="7">
      <w:start w:val="1"/>
      <w:numFmt w:val="lowerLetter"/>
      <w:suff w:val="tab"/>
      <w:lvlText w:val="%8."/>
      <w:pPr>
        <w:spacing/>
        <w:ind w:left="6109" w:hanging="360"/>
      </w:pPr>
      <w:rPr/>
    </w:lvl>
    <w:lvl w:ilvl="8">
      <w:start w:val="1"/>
      <w:numFmt w:val="lowerRoman"/>
      <w:suff w:val="tab"/>
      <w:lvlText w:val="%9."/>
      <w:lvlJc w:val="right"/>
      <w:pPr>
        <w:spacing/>
        <w:ind w:left="6829" w:hanging="180"/>
      </w:pPr>
      <w:rPr/>
    </w:lvl>
  </w:abstractNum>
  <w:abstractNum w:abstractNumId="9">
    <w:nsid w:val="55FC6D5A"/>
    <w:lvl w:ilvl="0">
      <w:start w:val="0"/>
      <w:numFmt w:val="bullet"/>
      <w:suff w:val="tab"/>
      <w:lvlText w:val="-"/>
      <w:pPr>
        <w:spacing/>
        <w:ind w:left="1080" w:hanging="360"/>
      </w:pPr>
      <w:rPr>
        <w:rFonts w:ascii="Arial" w:hAnsi="Arial" w:eastAsia="Times New Roman" w:cs="Arial" w:hint="default"/>
      </w:rPr>
    </w:lvl>
    <w:lvl w:ilvl="1">
      <w:start w:val="1"/>
      <w:numFmt w:val="bullet"/>
      <w:suff w:val="tab"/>
      <w:lvlText w:val="o"/>
      <w:pPr>
        <w:spacing/>
        <w:ind w:left="1800" w:hanging="360"/>
      </w:pPr>
      <w:rPr>
        <w:rFonts w:ascii="Courier New" w:hAnsi="Courier New" w:cs="Courier New" w:hint="default"/>
      </w:rPr>
    </w:lvl>
    <w:lvl w:ilvl="2">
      <w:start w:val="1"/>
      <w:numFmt w:val="bullet"/>
      <w:suff w:val="tab"/>
      <w:lvlText w:val=""/>
      <w:pPr>
        <w:spacing/>
        <w:ind w:left="2520" w:hanging="360"/>
      </w:pPr>
      <w:rPr>
        <w:rFonts w:ascii="Wingdings" w:hAnsi="Wingdings" w:hint="default"/>
      </w:rPr>
    </w:lvl>
    <w:lvl w:ilvl="3">
      <w:start w:val="1"/>
      <w:numFmt w:val="bullet"/>
      <w:suff w:val="tab"/>
      <w:lvlText w:val=""/>
      <w:pPr>
        <w:spacing/>
        <w:ind w:left="3240" w:hanging="360"/>
      </w:pPr>
      <w:rPr>
        <w:rFonts w:ascii="Symbol" w:hAnsi="Symbol" w:hint="default"/>
      </w:rPr>
    </w:lvl>
    <w:lvl w:ilvl="4">
      <w:start w:val="1"/>
      <w:numFmt w:val="bullet"/>
      <w:suff w:val="tab"/>
      <w:lvlText w:val="o"/>
      <w:pPr>
        <w:spacing/>
        <w:ind w:left="3960" w:hanging="360"/>
      </w:pPr>
      <w:rPr>
        <w:rFonts w:ascii="Courier New" w:hAnsi="Courier New" w:cs="Courier New" w:hint="default"/>
      </w:rPr>
    </w:lvl>
    <w:lvl w:ilvl="5">
      <w:start w:val="1"/>
      <w:numFmt w:val="bullet"/>
      <w:suff w:val="tab"/>
      <w:lvlText w:val=""/>
      <w:pPr>
        <w:spacing/>
        <w:ind w:left="4680" w:hanging="360"/>
      </w:pPr>
      <w:rPr>
        <w:rFonts w:ascii="Wingdings" w:hAnsi="Wingdings" w:hint="default"/>
      </w:rPr>
    </w:lvl>
    <w:lvl w:ilvl="6">
      <w:start w:val="1"/>
      <w:numFmt w:val="bullet"/>
      <w:suff w:val="tab"/>
      <w:lvlText w:val=""/>
      <w:pPr>
        <w:spacing/>
        <w:ind w:left="5400" w:hanging="360"/>
      </w:pPr>
      <w:rPr>
        <w:rFonts w:ascii="Symbol" w:hAnsi="Symbol" w:hint="default"/>
      </w:rPr>
    </w:lvl>
    <w:lvl w:ilvl="7">
      <w:start w:val="1"/>
      <w:numFmt w:val="bullet"/>
      <w:suff w:val="tab"/>
      <w:lvlText w:val="o"/>
      <w:pPr>
        <w:spacing/>
        <w:ind w:left="6120" w:hanging="360"/>
      </w:pPr>
      <w:rPr>
        <w:rFonts w:ascii="Courier New" w:hAnsi="Courier New" w:cs="Courier New" w:hint="default"/>
      </w:rPr>
    </w:lvl>
    <w:lvl w:ilvl="8">
      <w:start w:val="1"/>
      <w:numFmt w:val="bullet"/>
      <w:suff w:val="tab"/>
      <w:lvlText w:val=""/>
      <w:pPr>
        <w:spacing/>
        <w:ind w:left="6840" w:hanging="360"/>
      </w:pPr>
      <w:rPr>
        <w:rFonts w:ascii="Wingdings" w:hAnsi="Wingdings" w:hint="default"/>
      </w:rPr>
    </w:lvl>
  </w:abstractNum>
  <w:abstractNum w:abstractNumId="10">
    <w:nsid w:val="65B640E1"/>
    <w:lvl w:ilvl="0">
      <w:start w:val="0"/>
      <w:numFmt w:val="bullet"/>
      <w:suff w:val="tab"/>
      <w:lvlText w:val="-"/>
      <w:pPr>
        <w:spacing/>
        <w:ind w:left="1080" w:hanging="360"/>
      </w:pPr>
      <w:rPr>
        <w:rFonts w:ascii="Arial" w:hAnsi="Arial" w:eastAsia="Times New Roman" w:cs="Arial" w:hint="default"/>
        <w:color w:val="000000"/>
      </w:rPr>
    </w:lvl>
    <w:lvl w:ilvl="1">
      <w:start w:val="1"/>
      <w:numFmt w:val="bullet"/>
      <w:suff w:val="tab"/>
      <w:lvlText w:val="o"/>
      <w:pPr>
        <w:spacing/>
        <w:ind w:left="1800" w:hanging="360"/>
      </w:pPr>
      <w:rPr>
        <w:rFonts w:ascii="Courier New" w:hAnsi="Courier New" w:cs="Courier New" w:hint="default"/>
      </w:rPr>
    </w:lvl>
    <w:lvl w:ilvl="2">
      <w:start w:val="1"/>
      <w:numFmt w:val="bullet"/>
      <w:suff w:val="tab"/>
      <w:lvlText w:val=""/>
      <w:pPr>
        <w:spacing/>
        <w:ind w:left="2520" w:hanging="360"/>
      </w:pPr>
      <w:rPr>
        <w:rFonts w:ascii="Wingdings" w:hAnsi="Wingdings" w:hint="default"/>
      </w:rPr>
    </w:lvl>
    <w:lvl w:ilvl="3">
      <w:start w:val="1"/>
      <w:numFmt w:val="bullet"/>
      <w:suff w:val="tab"/>
      <w:lvlText w:val=""/>
      <w:pPr>
        <w:spacing/>
        <w:ind w:left="3240" w:hanging="360"/>
      </w:pPr>
      <w:rPr>
        <w:rFonts w:ascii="Symbol" w:hAnsi="Symbol" w:hint="default"/>
      </w:rPr>
    </w:lvl>
    <w:lvl w:ilvl="4">
      <w:start w:val="1"/>
      <w:numFmt w:val="bullet"/>
      <w:suff w:val="tab"/>
      <w:lvlText w:val="o"/>
      <w:pPr>
        <w:spacing/>
        <w:ind w:left="3960" w:hanging="360"/>
      </w:pPr>
      <w:rPr>
        <w:rFonts w:ascii="Courier New" w:hAnsi="Courier New" w:cs="Courier New" w:hint="default"/>
      </w:rPr>
    </w:lvl>
    <w:lvl w:ilvl="5">
      <w:start w:val="1"/>
      <w:numFmt w:val="bullet"/>
      <w:suff w:val="tab"/>
      <w:lvlText w:val=""/>
      <w:pPr>
        <w:spacing/>
        <w:ind w:left="4680" w:hanging="360"/>
      </w:pPr>
      <w:rPr>
        <w:rFonts w:ascii="Wingdings" w:hAnsi="Wingdings" w:hint="default"/>
      </w:rPr>
    </w:lvl>
    <w:lvl w:ilvl="6">
      <w:start w:val="1"/>
      <w:numFmt w:val="bullet"/>
      <w:suff w:val="tab"/>
      <w:lvlText w:val=""/>
      <w:pPr>
        <w:spacing/>
        <w:ind w:left="5400" w:hanging="360"/>
      </w:pPr>
      <w:rPr>
        <w:rFonts w:ascii="Symbol" w:hAnsi="Symbol" w:hint="default"/>
      </w:rPr>
    </w:lvl>
    <w:lvl w:ilvl="7">
      <w:start w:val="1"/>
      <w:numFmt w:val="bullet"/>
      <w:suff w:val="tab"/>
      <w:lvlText w:val="o"/>
      <w:pPr>
        <w:spacing/>
        <w:ind w:left="6120" w:hanging="360"/>
      </w:pPr>
      <w:rPr>
        <w:rFonts w:ascii="Courier New" w:hAnsi="Courier New" w:cs="Courier New" w:hint="default"/>
      </w:rPr>
    </w:lvl>
    <w:lvl w:ilvl="8">
      <w:start w:val="1"/>
      <w:numFmt w:val="bullet"/>
      <w:suff w:val="tab"/>
      <w:lvlText w:val=""/>
      <w:pPr>
        <w:spacing/>
        <w:ind w:left="6840" w:hanging="360"/>
      </w:pPr>
      <w:rPr>
        <w:rFonts w:ascii="Wingdings" w:hAnsi="Wingdings" w:hint="default"/>
      </w:rPr>
    </w:lvl>
  </w:abstractNum>
  <w:abstractNum w:abstractNumId="11">
    <w:nsid w:val="6A4F1CE6"/>
    <w:lvl w:ilvl="0">
      <w:start w:val="0"/>
      <w:numFmt w:val="bullet"/>
      <w:suff w:val="tab"/>
      <w:lvlText w:val="-"/>
      <w:pPr>
        <w:spacing/>
        <w:ind w:left="1080" w:hanging="360"/>
      </w:pPr>
      <w:rPr>
        <w:rFonts w:ascii="Arial" w:hAnsi="Arial" w:eastAsia="Times New Roman" w:cs="Arial" w:hint="default"/>
      </w:rPr>
    </w:lvl>
    <w:lvl w:ilvl="1">
      <w:start w:val="1"/>
      <w:numFmt w:val="bullet"/>
      <w:suff w:val="tab"/>
      <w:lvlText w:val="o"/>
      <w:pPr>
        <w:spacing/>
        <w:ind w:left="1800" w:hanging="360"/>
      </w:pPr>
      <w:rPr>
        <w:rFonts w:ascii="Courier New" w:hAnsi="Courier New" w:cs="Courier New" w:hint="default"/>
      </w:rPr>
    </w:lvl>
    <w:lvl w:ilvl="2">
      <w:start w:val="1"/>
      <w:numFmt w:val="bullet"/>
      <w:suff w:val="tab"/>
      <w:lvlText w:val=""/>
      <w:pPr>
        <w:spacing/>
        <w:ind w:left="2520" w:hanging="360"/>
      </w:pPr>
      <w:rPr>
        <w:rFonts w:ascii="Wingdings" w:hAnsi="Wingdings" w:hint="default"/>
      </w:rPr>
    </w:lvl>
    <w:lvl w:ilvl="3">
      <w:start w:val="1"/>
      <w:numFmt w:val="bullet"/>
      <w:suff w:val="tab"/>
      <w:lvlText w:val=""/>
      <w:pPr>
        <w:spacing/>
        <w:ind w:left="3240" w:hanging="360"/>
      </w:pPr>
      <w:rPr>
        <w:rFonts w:ascii="Symbol" w:hAnsi="Symbol" w:hint="default"/>
      </w:rPr>
    </w:lvl>
    <w:lvl w:ilvl="4">
      <w:start w:val="1"/>
      <w:numFmt w:val="bullet"/>
      <w:suff w:val="tab"/>
      <w:lvlText w:val="o"/>
      <w:pPr>
        <w:spacing/>
        <w:ind w:left="3960" w:hanging="360"/>
      </w:pPr>
      <w:rPr>
        <w:rFonts w:ascii="Courier New" w:hAnsi="Courier New" w:cs="Courier New" w:hint="default"/>
      </w:rPr>
    </w:lvl>
    <w:lvl w:ilvl="5">
      <w:start w:val="1"/>
      <w:numFmt w:val="bullet"/>
      <w:suff w:val="tab"/>
      <w:lvlText w:val=""/>
      <w:pPr>
        <w:spacing/>
        <w:ind w:left="4680" w:hanging="360"/>
      </w:pPr>
      <w:rPr>
        <w:rFonts w:ascii="Wingdings" w:hAnsi="Wingdings" w:hint="default"/>
      </w:rPr>
    </w:lvl>
    <w:lvl w:ilvl="6">
      <w:start w:val="1"/>
      <w:numFmt w:val="bullet"/>
      <w:suff w:val="tab"/>
      <w:lvlText w:val=""/>
      <w:pPr>
        <w:spacing/>
        <w:ind w:left="5400" w:hanging="360"/>
      </w:pPr>
      <w:rPr>
        <w:rFonts w:ascii="Symbol" w:hAnsi="Symbol" w:hint="default"/>
      </w:rPr>
    </w:lvl>
    <w:lvl w:ilvl="7">
      <w:start w:val="1"/>
      <w:numFmt w:val="bullet"/>
      <w:suff w:val="tab"/>
      <w:lvlText w:val="o"/>
      <w:pPr>
        <w:spacing/>
        <w:ind w:left="6120" w:hanging="360"/>
      </w:pPr>
      <w:rPr>
        <w:rFonts w:ascii="Courier New" w:hAnsi="Courier New" w:cs="Courier New" w:hint="default"/>
      </w:rPr>
    </w:lvl>
    <w:lvl w:ilvl="8">
      <w:start w:val="1"/>
      <w:numFmt w:val="bullet"/>
      <w:suff w:val="tab"/>
      <w:lvlText w:val=""/>
      <w:pPr>
        <w:spacing/>
        <w:ind w:left="6840" w:hanging="360"/>
      </w:pPr>
      <w:rPr>
        <w:rFonts w:ascii="Wingdings" w:hAnsi="Wingdings" w:hint="default"/>
      </w:rPr>
    </w:lvl>
  </w:abstractNum>
  <w:abstractNum w:abstractNumId="12">
    <w:nsid w:val="6A574DDF"/>
    <w:lvl w:ilvl="0">
      <w:start w:val="0"/>
      <w:numFmt w:val="bullet"/>
      <w:suff w:val="tab"/>
      <w:lvlText w:val="-"/>
      <w:pPr>
        <w:spacing/>
        <w:ind w:left="721" w:hanging="360"/>
      </w:pPr>
      <w:rPr>
        <w:rFonts w:ascii="Arial" w:hAnsi="Arial" w:eastAsia="Times New Roman" w:cs="Arial" w:hint="default"/>
      </w:rPr>
    </w:lvl>
    <w:lvl w:ilvl="1">
      <w:start w:val="1"/>
      <w:numFmt w:val="decimal"/>
      <w:suff w:val="tab"/>
      <w:lvlText w:val="%2."/>
      <w:pPr>
        <w:spacing/>
        <w:ind w:left="1441" w:hanging="360"/>
      </w:pPr>
      <w:rPr/>
    </w:lvl>
    <w:lvl w:ilvl="2">
      <w:start w:val="1"/>
      <w:numFmt w:val="bullet"/>
      <w:suff w:val="tab"/>
      <w:lvlText w:val=""/>
      <w:pPr>
        <w:spacing/>
        <w:ind w:left="2161" w:hanging="360"/>
      </w:pPr>
      <w:rPr>
        <w:rFonts w:ascii="Wingdings" w:hAnsi="Wingdings" w:hint="default"/>
      </w:rPr>
    </w:lvl>
    <w:lvl w:ilvl="3">
      <w:start w:val="1"/>
      <w:numFmt w:val="bullet"/>
      <w:suff w:val="tab"/>
      <w:lvlText w:val=""/>
      <w:pPr>
        <w:spacing/>
        <w:ind w:left="2881" w:hanging="360"/>
      </w:pPr>
      <w:rPr>
        <w:rFonts w:ascii="Symbol" w:hAnsi="Symbol" w:hint="default"/>
      </w:rPr>
    </w:lvl>
    <w:lvl w:ilvl="4">
      <w:start w:val="1"/>
      <w:numFmt w:val="bullet"/>
      <w:suff w:val="tab"/>
      <w:lvlText w:val="o"/>
      <w:pPr>
        <w:spacing/>
        <w:ind w:left="3601" w:hanging="360"/>
      </w:pPr>
      <w:rPr>
        <w:rFonts w:ascii="Courier New" w:hAnsi="Courier New" w:cs="Courier New" w:hint="default"/>
      </w:rPr>
    </w:lvl>
    <w:lvl w:ilvl="5">
      <w:start w:val="1"/>
      <w:numFmt w:val="bullet"/>
      <w:suff w:val="tab"/>
      <w:lvlText w:val=""/>
      <w:pPr>
        <w:spacing/>
        <w:ind w:left="4321" w:hanging="360"/>
      </w:pPr>
      <w:rPr>
        <w:rFonts w:ascii="Wingdings" w:hAnsi="Wingdings" w:hint="default"/>
      </w:rPr>
    </w:lvl>
    <w:lvl w:ilvl="6">
      <w:start w:val="1"/>
      <w:numFmt w:val="bullet"/>
      <w:suff w:val="tab"/>
      <w:lvlText w:val=""/>
      <w:pPr>
        <w:spacing/>
        <w:ind w:left="5041" w:hanging="360"/>
      </w:pPr>
      <w:rPr>
        <w:rFonts w:ascii="Symbol" w:hAnsi="Symbol" w:hint="default"/>
      </w:rPr>
    </w:lvl>
    <w:lvl w:ilvl="7">
      <w:start w:val="1"/>
      <w:numFmt w:val="bullet"/>
      <w:suff w:val="tab"/>
      <w:lvlText w:val="o"/>
      <w:pPr>
        <w:spacing/>
        <w:ind w:left="5761" w:hanging="360"/>
      </w:pPr>
      <w:rPr>
        <w:rFonts w:ascii="Courier New" w:hAnsi="Courier New" w:cs="Courier New" w:hint="default"/>
      </w:rPr>
    </w:lvl>
    <w:lvl w:ilvl="8">
      <w:start w:val="1"/>
      <w:numFmt w:val="bullet"/>
      <w:suff w:val="tab"/>
      <w:lvlText w:val=""/>
      <w:pPr>
        <w:spacing/>
        <w:ind w:left="6481" w:hanging="360"/>
      </w:pPr>
      <w:rPr>
        <w:rFonts w:ascii="Wingdings" w:hAnsi="Wingdings" w:hint="default"/>
      </w:rPr>
    </w:lvl>
  </w:abstractNum>
  <w:abstractNum w:abstractNumId="13">
    <w:nsid w:val="6DBF0344"/>
    <w:lvl w:ilvl="0">
      <w:start w:val="1"/>
      <w:numFmt w:val="lowerLetter"/>
      <w:suff w:val="tab"/>
      <w:lvlText w:val="%1)"/>
      <w:pPr>
        <w:spacing/>
        <w:ind w:left="1440" w:hanging="360"/>
      </w:pPr>
      <w:rPr>
        <w:rFonts w:hint="default"/>
        <w:color w:val="000000"/>
      </w:rPr>
    </w:lvl>
    <w:lvl w:ilvl="1">
      <w:start w:val="1"/>
      <w:numFmt w:val="lowerLetter"/>
      <w:suff w:val="tab"/>
      <w:lvlText w:val="%2."/>
      <w:pPr>
        <w:spacing/>
        <w:ind w:left="1811" w:hanging="360"/>
      </w:pPr>
      <w:rPr/>
    </w:lvl>
    <w:lvl w:ilvl="2">
      <w:start w:val="1"/>
      <w:numFmt w:val="lowerRoman"/>
      <w:suff w:val="tab"/>
      <w:lvlText w:val="%3."/>
      <w:lvlJc w:val="right"/>
      <w:pPr>
        <w:spacing/>
        <w:ind w:left="2531" w:hanging="180"/>
      </w:pPr>
      <w:rPr/>
    </w:lvl>
    <w:lvl w:ilvl="3">
      <w:start w:val="1"/>
      <w:numFmt w:val="decimal"/>
      <w:suff w:val="tab"/>
      <w:lvlText w:val="%4."/>
      <w:pPr>
        <w:spacing/>
        <w:ind w:left="3251" w:hanging="360"/>
      </w:pPr>
      <w:rPr/>
    </w:lvl>
    <w:lvl w:ilvl="4">
      <w:start w:val="1"/>
      <w:numFmt w:val="lowerLetter"/>
      <w:suff w:val="tab"/>
      <w:lvlText w:val="%5."/>
      <w:pPr>
        <w:spacing/>
        <w:ind w:left="3971" w:hanging="360"/>
      </w:pPr>
      <w:rPr/>
    </w:lvl>
    <w:lvl w:ilvl="5">
      <w:start w:val="1"/>
      <w:numFmt w:val="lowerRoman"/>
      <w:suff w:val="tab"/>
      <w:lvlText w:val="%6."/>
      <w:lvlJc w:val="right"/>
      <w:pPr>
        <w:spacing/>
        <w:ind w:left="4691" w:hanging="180"/>
      </w:pPr>
      <w:rPr/>
    </w:lvl>
    <w:lvl w:ilvl="6">
      <w:start w:val="1"/>
      <w:numFmt w:val="decimal"/>
      <w:suff w:val="tab"/>
      <w:lvlText w:val="%7."/>
      <w:pPr>
        <w:spacing/>
        <w:ind w:left="5411" w:hanging="360"/>
      </w:pPr>
      <w:rPr/>
    </w:lvl>
    <w:lvl w:ilvl="7">
      <w:start w:val="1"/>
      <w:numFmt w:val="lowerLetter"/>
      <w:suff w:val="tab"/>
      <w:lvlText w:val="%8."/>
      <w:pPr>
        <w:spacing/>
        <w:ind w:left="6131" w:hanging="360"/>
      </w:pPr>
      <w:rPr/>
    </w:lvl>
    <w:lvl w:ilvl="8">
      <w:start w:val="1"/>
      <w:numFmt w:val="lowerRoman"/>
      <w:suff w:val="tab"/>
      <w:lvlText w:val="%9."/>
      <w:lvlJc w:val="right"/>
      <w:pPr>
        <w:spacing/>
        <w:ind w:left="6851" w:hanging="180"/>
      </w:pPr>
      <w:rPr/>
    </w:lvl>
  </w:abstractNum>
  <w:abstractNum w:abstractNumId="14">
    <w:nsid w:val="77AC57D4"/>
    <w:lvl w:ilvl="0">
      <w:start w:val="0"/>
      <w:numFmt w:val="bullet"/>
      <w:suff w:val="tab"/>
      <w:lvlText w:val="-"/>
      <w:pPr>
        <w:spacing/>
        <w:ind w:left="1080" w:hanging="360"/>
      </w:pPr>
      <w:rPr>
        <w:rFonts w:ascii="Arial" w:hAnsi="Arial" w:eastAsia="Times New Roman" w:cs="Arial" w:hint="default"/>
        <w:color w:val="000000"/>
      </w:rPr>
    </w:lvl>
    <w:lvl w:ilvl="1">
      <w:start w:val="0"/>
      <w:numFmt w:val="bullet"/>
      <w:suff w:val="tab"/>
      <w:lvlText w:val="-"/>
      <w:pPr>
        <w:spacing/>
        <w:ind w:left="721" w:hanging="360"/>
      </w:pPr>
      <w:rPr>
        <w:rFonts w:ascii="Arial" w:hAnsi="Arial" w:eastAsia="Times New Roman" w:cs="Arial" w:hint="default"/>
      </w:rPr>
    </w:lvl>
    <w:lvl w:ilvl="2">
      <w:start w:val="1"/>
      <w:numFmt w:val="bullet"/>
      <w:suff w:val="tab"/>
      <w:lvlText w:val=""/>
      <w:pPr>
        <w:spacing/>
        <w:ind w:left="2520" w:hanging="360"/>
      </w:pPr>
      <w:rPr>
        <w:rFonts w:ascii="Wingdings" w:hAnsi="Wingdings" w:hint="default"/>
      </w:rPr>
    </w:lvl>
    <w:lvl w:ilvl="3">
      <w:start w:val="1"/>
      <w:numFmt w:val="bullet"/>
      <w:suff w:val="tab"/>
      <w:lvlText w:val=""/>
      <w:pPr>
        <w:spacing/>
        <w:ind w:left="3240" w:hanging="360"/>
      </w:pPr>
      <w:rPr>
        <w:rFonts w:ascii="Symbol" w:hAnsi="Symbol" w:hint="default"/>
      </w:rPr>
    </w:lvl>
    <w:lvl w:ilvl="4">
      <w:start w:val="1"/>
      <w:numFmt w:val="bullet"/>
      <w:suff w:val="tab"/>
      <w:lvlText w:val="o"/>
      <w:pPr>
        <w:spacing/>
        <w:ind w:left="3960" w:hanging="360"/>
      </w:pPr>
      <w:rPr>
        <w:rFonts w:ascii="Courier New" w:hAnsi="Courier New" w:cs="Courier New" w:hint="default"/>
      </w:rPr>
    </w:lvl>
    <w:lvl w:ilvl="5">
      <w:start w:val="1"/>
      <w:numFmt w:val="bullet"/>
      <w:suff w:val="tab"/>
      <w:lvlText w:val=""/>
      <w:pPr>
        <w:spacing/>
        <w:ind w:left="4680" w:hanging="360"/>
      </w:pPr>
      <w:rPr>
        <w:rFonts w:ascii="Wingdings" w:hAnsi="Wingdings" w:hint="default"/>
      </w:rPr>
    </w:lvl>
    <w:lvl w:ilvl="6">
      <w:start w:val="1"/>
      <w:numFmt w:val="bullet"/>
      <w:suff w:val="tab"/>
      <w:lvlText w:val=""/>
      <w:pPr>
        <w:spacing/>
        <w:ind w:left="5400" w:hanging="360"/>
      </w:pPr>
      <w:rPr>
        <w:rFonts w:ascii="Symbol" w:hAnsi="Symbol" w:hint="default"/>
      </w:rPr>
    </w:lvl>
    <w:lvl w:ilvl="7">
      <w:start w:val="1"/>
      <w:numFmt w:val="bullet"/>
      <w:suff w:val="tab"/>
      <w:lvlText w:val="o"/>
      <w:pPr>
        <w:spacing/>
        <w:ind w:left="6120" w:hanging="360"/>
      </w:pPr>
      <w:rPr>
        <w:rFonts w:ascii="Courier New" w:hAnsi="Courier New" w:cs="Courier New" w:hint="default"/>
      </w:rPr>
    </w:lvl>
    <w:lvl w:ilvl="8">
      <w:start w:val="1"/>
      <w:numFmt w:val="bullet"/>
      <w:suff w:val="tab"/>
      <w:lvlText w:val=""/>
      <w:pPr>
        <w:spacing/>
        <w:ind w:left="6840" w:hanging="360"/>
      </w:pPr>
      <w:rPr>
        <w:rFonts w:ascii="Wingdings" w:hAnsi="Wingdings" w:hint="default"/>
      </w:rPr>
    </w:lvl>
  </w:abstractNum>
  <w:abstractNum w:abstractNumId="15">
    <w:nsid w:val="7E64166B"/>
    <w:lvl w:ilvl="0">
      <w:start w:val="1"/>
      <w:numFmt w:val="lowerLetter"/>
      <w:suff w:val="tab"/>
      <w:lvlText w:val="%1)"/>
      <w:pPr>
        <w:spacing/>
        <w:ind w:left="1429" w:hanging="360"/>
      </w:pPr>
      <w:rPr/>
    </w:lvl>
    <w:lvl w:ilvl="1">
      <w:start w:val="1"/>
      <w:numFmt w:val="lowerLetter"/>
      <w:suff w:val="tab"/>
      <w:lvlText w:val="%2."/>
      <w:pPr>
        <w:spacing/>
        <w:ind w:left="2149" w:hanging="360"/>
      </w:pPr>
      <w:rPr/>
    </w:lvl>
    <w:lvl w:ilvl="2">
      <w:start w:val="1"/>
      <w:numFmt w:val="lowerRoman"/>
      <w:suff w:val="tab"/>
      <w:lvlText w:val="%3."/>
      <w:lvlJc w:val="right"/>
      <w:pPr>
        <w:spacing/>
        <w:ind w:left="2869" w:hanging="180"/>
      </w:pPr>
      <w:rPr/>
    </w:lvl>
    <w:lvl w:ilvl="3">
      <w:start w:val="1"/>
      <w:numFmt w:val="decimal"/>
      <w:suff w:val="tab"/>
      <w:lvlText w:val="%4."/>
      <w:pPr>
        <w:spacing/>
        <w:ind w:left="3589" w:hanging="360"/>
      </w:pPr>
      <w:rPr/>
    </w:lvl>
    <w:lvl w:ilvl="4">
      <w:start w:val="1"/>
      <w:numFmt w:val="lowerLetter"/>
      <w:suff w:val="tab"/>
      <w:lvlText w:val="%5."/>
      <w:pPr>
        <w:spacing/>
        <w:ind w:left="4309" w:hanging="360"/>
      </w:pPr>
      <w:rPr/>
    </w:lvl>
    <w:lvl w:ilvl="5">
      <w:start w:val="1"/>
      <w:numFmt w:val="lowerRoman"/>
      <w:suff w:val="tab"/>
      <w:lvlText w:val="%6."/>
      <w:lvlJc w:val="right"/>
      <w:pPr>
        <w:spacing/>
        <w:ind w:left="5029" w:hanging="180"/>
      </w:pPr>
      <w:rPr/>
    </w:lvl>
    <w:lvl w:ilvl="6">
      <w:start w:val="1"/>
      <w:numFmt w:val="decimal"/>
      <w:suff w:val="tab"/>
      <w:lvlText w:val="%7."/>
      <w:pPr>
        <w:spacing/>
        <w:ind w:left="5749" w:hanging="360"/>
      </w:pPr>
      <w:rPr/>
    </w:lvl>
    <w:lvl w:ilvl="7">
      <w:start w:val="1"/>
      <w:numFmt w:val="lowerLetter"/>
      <w:suff w:val="tab"/>
      <w:lvlText w:val="%8."/>
      <w:pPr>
        <w:spacing/>
        <w:ind w:left="6469" w:hanging="360"/>
      </w:pPr>
      <w:rPr/>
    </w:lvl>
    <w:lvl w:ilvl="8">
      <w:start w:val="1"/>
      <w:numFmt w:val="lowerRoman"/>
      <w:suff w:val="tab"/>
      <w:lvlText w:val="%9."/>
      <w:lvlJc w:val="right"/>
      <w:pPr>
        <w:spacing/>
        <w:ind w:left="7189"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20"/>
  <w:proofState w:spelling="clean" w:grammar="clean"/>
  <w:defaultTabStop w:val="708"/>
  <w:hyphenationZone w:val="425"/>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hr-HR"/>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hr-HR"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qFormat/>
    <w:pPr>
      <w:spacing w:after="200" w:line="276" w:lineRule="auto"/>
    </w:pPr>
    <w:rPr>
      <w:rFonts w:ascii="Times New Roman" w:hAnsi="Times New Roman" w:eastAsiaTheme="minorEastAsia"/>
      <w:lang w:val="en-US"/>
    </w:rPr>
  </w:style>
  <w:style w:type="character" w:styleId="Zadanifontodlomka" w:default="1">
    <w:name w:val="Default Paragraph Font"/>
    <w:uiPriority w:val="1"/>
    <w:semiHidden/>
    <w:unhideWhenUsed/>
    <w:rPr/>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name w:val="No List"/>
    <w:uiPriority w:val="99"/>
    <w:semiHidden/>
    <w:unhideWhenUsed/>
  </w:style>
  <w:style w:type="paragraph" w:styleId="Bezproreda" w:customStyle="1">
    <w:name w:val="No Spacing"/>
    <w:uiPriority w:val="1"/>
    <w:qFormat/>
    <w:pPr>
      <w:spacing w:after="0" w:line="240" w:lineRule="auto"/>
    </w:pPr>
    <w:rPr>
      <w:rFonts w:eastAsiaTheme="minorEastAsia"/>
      <w:lang w:val="en-US"/>
    </w:rPr>
  </w:style>
  <w:style w:type="paragraph" w:styleId="Odlomakpopisa">
    <w:name w:val="List Paragraph"/>
    <w:basedOn w:val="Normal"/>
    <w:uiPriority w:val="34"/>
    <w:qFormat/>
    <w:pPr>
      <w:spacing/>
      <w:ind w:left="720"/>
      <w:contextualSpacing/>
    </w:pPr>
    <w:rPr/>
  </w:style>
  <w:style w:type="paragraph" w:styleId="Default" w:customStyle="1">
    <w:name w:val="Default"/>
    <w:pPr>
      <w:autoSpaceDE w:val="false"/>
      <w:autoSpaceDN w:val="false"/>
      <w:adjustRightInd w:val="false"/>
      <w:spacing w:after="0" w:line="240" w:lineRule="auto"/>
    </w:pPr>
    <w:rPr>
      <w:rFonts w:ascii="Times New Roman" w:hAnsi="Times New Roman" w:eastAsia="Calibri" w:cs="Times New Roman"/>
      <w:color w:val="000000"/>
      <w:sz w:val="24"/>
      <w:szCs w:val="24"/>
    </w:rPr>
  </w:style>
</w:styles>
</file>

<file path=word/_rels/document.xml.rels>&#65279;<?xml version="1.0" encoding="utf-8" standalone="yes"?><Relationships xmlns="http://schemas.openxmlformats.org/package/2006/relationships"><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fontTable" Target="fontTable.xml" /><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4</TotalTime>
  <Pages>13</Pages>
  <Words>5879</Words>
  <Characters>33516</Characters>
  <Application>Microsoft Office Word</Application>
  <DocSecurity>0</DocSecurity>
  <Lines>279</Lines>
  <Paragraphs>78</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cp:revision>
  <dcterms:created xsi:type="dcterms:W3CDTF">2026-09-04T07:10:00Z</dcterms:created>
  <dcterms:modified xsi:type="dcterms:W3CDTF">2026-09-04T07:15:00Z</dcterms:modified>
</cp:coreProperties>
</file>