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cf43ebced04b7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12905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VALENTIN KLARIN PREKO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2.088.426,33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2.350.166,33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1.976.700,40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2.457.684,43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107.518,10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61.249,04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152.318,27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61.249,04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152.318,27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259.836,37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u iznosu od 107.518,10 eura ostvaren je zbog obračuna plaće sa 31.12.2025, a prihode za tu namjenu dobivamo u 01/2026.</w:t>
      </w:r>
    </w:p>
    <w:p>
      <w:r>
        <w:t xml:space="preserve">Manjak prihoda od nefinancijske imovine u iznosu od 152.318,27 eura ostvaren je zbog preuređenja pojedinih učionica i obnavljanja područnih škola.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118.326,17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u iznosu od 118.326,17 eura ostvaren je zbog toga što nismo bili u mogućnosti podmiriti dospjela dugovanja,koja se najvećim dijelom odnose na komunalne usluge (voda, odvoz smeća,komunalna naknada i uređenje voda).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dece7d05ea418e" /></Relationships>
</file>