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981ffb5d141f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12905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VALENTIN KLARIN PREKO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1.473.333,82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1.643.875,64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1.416.413,81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1.790.516,25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146.640,61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15.272,16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65.036,38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15.272,16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65.036,38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211.676,99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odnosi se na obračun plaća za 09/2025 za što još nisu dobivena sredstva od MZO.
Manjak prihoda od nefinancijske imovine odnosi se na  dodatna ulaganja u područnim školama kao i na nabavu udžbenika za novu školsku godinu za što još nisu dobivena sredstva od MZO.
Konačan rezultat je manjak prihoda i primitaka u iznosu od 211.676,99 EUR.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875c5bfe61487e" /></Relationships>
</file>